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2B80A" w14:textId="43390908" w:rsidR="00E636A7" w:rsidRPr="00FA0F1F" w:rsidRDefault="00FA0F1F" w:rsidP="00FA0F1F">
      <w:pPr>
        <w:spacing w:after="0" w:line="240" w:lineRule="auto"/>
        <w:jc w:val="center"/>
        <w:rPr>
          <w:rFonts w:cstheme="minorHAnsi"/>
          <w:b/>
          <w:bCs/>
          <w:sz w:val="36"/>
          <w:szCs w:val="36"/>
        </w:rPr>
      </w:pPr>
      <w:r w:rsidRPr="00FA0F1F">
        <w:rPr>
          <w:rFonts w:cstheme="minorHAnsi"/>
          <w:b/>
          <w:bCs/>
          <w:sz w:val="36"/>
          <w:szCs w:val="36"/>
        </w:rPr>
        <w:t>Crater Regional Workforce Development Board</w:t>
      </w:r>
    </w:p>
    <w:p w14:paraId="7E1C4C7F" w14:textId="5236C8BF" w:rsidR="00FA0F1F" w:rsidRPr="00FA0F1F" w:rsidRDefault="00FA0F1F" w:rsidP="00FA0F1F">
      <w:pPr>
        <w:spacing w:after="0" w:line="240" w:lineRule="auto"/>
        <w:jc w:val="center"/>
        <w:rPr>
          <w:rFonts w:cstheme="minorHAnsi"/>
          <w:b/>
          <w:bCs/>
          <w:sz w:val="36"/>
          <w:szCs w:val="36"/>
        </w:rPr>
      </w:pPr>
      <w:r w:rsidRPr="00FA0F1F">
        <w:rPr>
          <w:rFonts w:cstheme="minorHAnsi"/>
          <w:b/>
          <w:bCs/>
          <w:sz w:val="36"/>
          <w:szCs w:val="36"/>
        </w:rPr>
        <w:t>LWDA-15</w:t>
      </w:r>
    </w:p>
    <w:p w14:paraId="1AC024C0" w14:textId="584E99AA" w:rsidR="00FA0F1F" w:rsidRPr="00FA0F1F" w:rsidRDefault="00FA0F1F" w:rsidP="00FA0F1F">
      <w:pPr>
        <w:rPr>
          <w:rFonts w:cstheme="minorHAnsi"/>
          <w:b/>
          <w:bCs/>
          <w:sz w:val="36"/>
          <w:szCs w:val="36"/>
        </w:rPr>
      </w:pPr>
    </w:p>
    <w:p w14:paraId="5A69E646" w14:textId="5F3252EE" w:rsidR="00FA0F1F" w:rsidRPr="00FA0F1F" w:rsidRDefault="00FA0F1F" w:rsidP="00FA0F1F">
      <w:pPr>
        <w:rPr>
          <w:rFonts w:cstheme="minorHAnsi"/>
          <w:b/>
          <w:bCs/>
          <w:sz w:val="28"/>
          <w:szCs w:val="28"/>
        </w:rPr>
      </w:pPr>
      <w:r w:rsidRPr="00FA0F1F">
        <w:rPr>
          <w:rFonts w:cstheme="minorHAnsi"/>
          <w:b/>
          <w:bCs/>
          <w:sz w:val="28"/>
          <w:szCs w:val="28"/>
        </w:rPr>
        <w:t>Policy Number 2018-06</w:t>
      </w:r>
    </w:p>
    <w:p w14:paraId="28A45605" w14:textId="57F25BFB" w:rsidR="00FA0F1F" w:rsidRPr="00FA0F1F" w:rsidRDefault="00FA0F1F" w:rsidP="00FA0F1F">
      <w:pPr>
        <w:rPr>
          <w:rFonts w:cstheme="minorHAnsi"/>
          <w:b/>
          <w:bCs/>
          <w:sz w:val="28"/>
          <w:szCs w:val="28"/>
        </w:rPr>
      </w:pPr>
      <w:r w:rsidRPr="00FA0F1F">
        <w:rPr>
          <w:rFonts w:cstheme="minorHAnsi"/>
          <w:b/>
          <w:bCs/>
          <w:sz w:val="28"/>
          <w:szCs w:val="28"/>
        </w:rPr>
        <w:t>Effective Date: October 19, 2018</w:t>
      </w:r>
    </w:p>
    <w:p w14:paraId="07BF8D5F" w14:textId="16B675C5" w:rsidR="00FA0F1F" w:rsidRPr="00FA0F1F" w:rsidRDefault="00FA0F1F" w:rsidP="00FA0F1F">
      <w:pPr>
        <w:rPr>
          <w:rFonts w:cstheme="minorHAnsi"/>
          <w:b/>
          <w:bCs/>
          <w:sz w:val="28"/>
          <w:szCs w:val="28"/>
        </w:rPr>
      </w:pPr>
      <w:r w:rsidRPr="00FA0F1F">
        <w:rPr>
          <w:rFonts w:cstheme="minorHAnsi"/>
          <w:b/>
          <w:bCs/>
          <w:sz w:val="28"/>
          <w:szCs w:val="28"/>
        </w:rPr>
        <w:t>Title: Youth Follow-Up Services</w:t>
      </w:r>
    </w:p>
    <w:p w14:paraId="759B0B8E" w14:textId="77777777" w:rsidR="00E636A7" w:rsidRPr="00301037" w:rsidRDefault="00E636A7" w:rsidP="00E636A7">
      <w:pPr>
        <w:rPr>
          <w:rFonts w:ascii="Times New Roman" w:hAnsi="Times New Roman"/>
        </w:rPr>
      </w:pPr>
    </w:p>
    <w:p w14:paraId="6D15E8D4" w14:textId="77777777" w:rsidR="00FA0F1F" w:rsidRPr="00FA0F1F" w:rsidRDefault="00FA0F1F" w:rsidP="00FA0F1F">
      <w:pPr>
        <w:rPr>
          <w:rFonts w:cstheme="minorHAnsi"/>
          <w:b/>
          <w:bCs/>
          <w:sz w:val="24"/>
          <w:szCs w:val="24"/>
        </w:rPr>
      </w:pPr>
      <w:r w:rsidRPr="00FA0F1F">
        <w:rPr>
          <w:rFonts w:cstheme="minorHAnsi"/>
          <w:b/>
          <w:bCs/>
          <w:sz w:val="24"/>
          <w:szCs w:val="24"/>
        </w:rPr>
        <w:t>Background:</w:t>
      </w:r>
    </w:p>
    <w:p w14:paraId="7C91F3BD" w14:textId="08795D0D" w:rsidR="00FA0F1F" w:rsidRPr="00FA0F1F" w:rsidRDefault="00FA0F1F" w:rsidP="00FA0F1F">
      <w:pPr>
        <w:rPr>
          <w:rFonts w:cstheme="minorHAnsi"/>
          <w:bCs/>
          <w:sz w:val="24"/>
          <w:szCs w:val="24"/>
        </w:rPr>
      </w:pPr>
      <w:r w:rsidRPr="00FA0F1F">
        <w:rPr>
          <w:rFonts w:cstheme="minorHAnsi"/>
          <w:bCs/>
          <w:sz w:val="24"/>
          <w:szCs w:val="24"/>
        </w:rPr>
        <w:t>Follow-up services must be provided as appropriate for participants who are placed in unsubsidized employment, for up to 12 months after the first day of employment.  Counseling about the work place is an appropriate type of follow-up service.  Follow-up services do not extend the date of exit in performance reporting</w:t>
      </w:r>
      <w:r w:rsidRPr="00FA0F1F">
        <w:rPr>
          <w:rFonts w:cstheme="minorHAnsi"/>
          <w:bCs/>
          <w:sz w:val="24"/>
          <w:szCs w:val="24"/>
        </w:rPr>
        <w:t>.</w:t>
      </w:r>
    </w:p>
    <w:p w14:paraId="2473C851" w14:textId="231E8DE5" w:rsidR="005D148D" w:rsidRPr="00FA0F1F" w:rsidRDefault="00C32CDE" w:rsidP="00E636A7">
      <w:pPr>
        <w:spacing w:before="100" w:beforeAutospacing="1" w:after="100" w:afterAutospacing="1" w:line="240" w:lineRule="auto"/>
        <w:rPr>
          <w:rFonts w:cstheme="minorHAnsi"/>
          <w:b/>
          <w:bCs/>
          <w:sz w:val="24"/>
          <w:szCs w:val="24"/>
        </w:rPr>
      </w:pPr>
      <w:r w:rsidRPr="00FA0F1F">
        <w:rPr>
          <w:rFonts w:cstheme="minorHAnsi"/>
          <w:b/>
          <w:bCs/>
          <w:sz w:val="24"/>
          <w:szCs w:val="24"/>
        </w:rPr>
        <w:t>P</w:t>
      </w:r>
      <w:r w:rsidR="00FA0F1F" w:rsidRPr="00FA0F1F">
        <w:rPr>
          <w:rFonts w:cstheme="minorHAnsi"/>
          <w:b/>
          <w:bCs/>
          <w:sz w:val="24"/>
          <w:szCs w:val="24"/>
        </w:rPr>
        <w:t>urpose</w:t>
      </w:r>
    </w:p>
    <w:p w14:paraId="08D8A3B2" w14:textId="77777777" w:rsidR="00C32CDE" w:rsidRPr="00FA0F1F" w:rsidRDefault="00C32CDE" w:rsidP="00E636A7">
      <w:pPr>
        <w:spacing w:before="100" w:beforeAutospacing="1" w:after="100" w:afterAutospacing="1" w:line="240" w:lineRule="auto"/>
        <w:rPr>
          <w:rFonts w:cstheme="minorHAnsi"/>
          <w:sz w:val="24"/>
          <w:szCs w:val="24"/>
        </w:rPr>
      </w:pPr>
      <w:r w:rsidRPr="00FA0F1F">
        <w:rPr>
          <w:rFonts w:cstheme="minorHAnsi"/>
          <w:sz w:val="24"/>
          <w:szCs w:val="24"/>
        </w:rPr>
        <w:t>The purpose of the Youth Follow Up policy is to provide guidance to service providers on the follow up references as required under the Workforce Innovation and Opportunity Act (WIOA) for youth participants exited from program services.</w:t>
      </w:r>
    </w:p>
    <w:p w14:paraId="7A0C9616" w14:textId="1A780A65" w:rsidR="00E636A7" w:rsidRPr="00FA0F1F" w:rsidRDefault="00C32CDE" w:rsidP="00E636A7">
      <w:pPr>
        <w:spacing w:before="100" w:beforeAutospacing="1" w:after="100" w:afterAutospacing="1" w:line="240" w:lineRule="auto"/>
        <w:rPr>
          <w:rFonts w:cstheme="minorHAnsi"/>
          <w:b/>
          <w:bCs/>
          <w:sz w:val="24"/>
          <w:szCs w:val="24"/>
        </w:rPr>
      </w:pPr>
      <w:r w:rsidRPr="00FA0F1F">
        <w:rPr>
          <w:rFonts w:cstheme="minorHAnsi"/>
          <w:b/>
          <w:bCs/>
          <w:sz w:val="24"/>
          <w:szCs w:val="24"/>
        </w:rPr>
        <w:t>R</w:t>
      </w:r>
      <w:r w:rsidR="00FA0F1F" w:rsidRPr="00FA0F1F">
        <w:rPr>
          <w:rFonts w:cstheme="minorHAnsi"/>
          <w:b/>
          <w:bCs/>
          <w:sz w:val="24"/>
          <w:szCs w:val="24"/>
        </w:rPr>
        <w:t>eference</w:t>
      </w:r>
    </w:p>
    <w:p w14:paraId="4FE6D38F" w14:textId="77777777" w:rsidR="000C59FC" w:rsidRPr="00FA0F1F" w:rsidRDefault="00C32CDE" w:rsidP="000C59FC">
      <w:pPr>
        <w:spacing w:after="0" w:line="240" w:lineRule="auto"/>
        <w:rPr>
          <w:rFonts w:cstheme="minorHAnsi"/>
          <w:sz w:val="24"/>
          <w:szCs w:val="24"/>
        </w:rPr>
      </w:pPr>
      <w:r w:rsidRPr="00FA0F1F">
        <w:rPr>
          <w:rFonts w:cstheme="minorHAnsi"/>
          <w:sz w:val="24"/>
          <w:szCs w:val="24"/>
        </w:rPr>
        <w:t>Workforce Innovation and Opportunity Act, July 22, 2014, sections: 3(59) and 129 (c)(2)(G) Workforce Innovation and Opportunity Act Proposed Regulations sections: 681.580; 681.520; 861.570</w:t>
      </w:r>
    </w:p>
    <w:p w14:paraId="654F01AB" w14:textId="77777777" w:rsidR="00C32CDE" w:rsidRPr="00FA0F1F" w:rsidRDefault="00C32CDE" w:rsidP="000C59FC">
      <w:pPr>
        <w:spacing w:after="0" w:line="240" w:lineRule="auto"/>
        <w:rPr>
          <w:rFonts w:cstheme="minorHAnsi"/>
          <w:sz w:val="24"/>
          <w:szCs w:val="24"/>
        </w:rPr>
      </w:pPr>
    </w:p>
    <w:p w14:paraId="22FFEC77" w14:textId="44BAA6FB" w:rsidR="00C32CDE" w:rsidRPr="00FA0F1F" w:rsidRDefault="00C32CDE" w:rsidP="000C59FC">
      <w:pPr>
        <w:spacing w:after="0" w:line="240" w:lineRule="auto"/>
        <w:rPr>
          <w:rFonts w:cstheme="minorHAnsi"/>
          <w:b/>
          <w:iCs/>
          <w:sz w:val="24"/>
          <w:szCs w:val="24"/>
        </w:rPr>
      </w:pPr>
      <w:r w:rsidRPr="00FA0F1F">
        <w:rPr>
          <w:rFonts w:cstheme="minorHAnsi"/>
          <w:b/>
          <w:iCs/>
          <w:sz w:val="24"/>
          <w:szCs w:val="24"/>
        </w:rPr>
        <w:t>P</w:t>
      </w:r>
      <w:r w:rsidR="00FA0F1F" w:rsidRPr="00FA0F1F">
        <w:rPr>
          <w:rFonts w:cstheme="minorHAnsi"/>
          <w:b/>
          <w:iCs/>
          <w:sz w:val="24"/>
          <w:szCs w:val="24"/>
        </w:rPr>
        <w:t>olicy</w:t>
      </w:r>
    </w:p>
    <w:p w14:paraId="4F1F67EC" w14:textId="77777777" w:rsidR="00C32CDE" w:rsidRPr="00FA0F1F" w:rsidRDefault="00C32CDE" w:rsidP="000C59FC">
      <w:pPr>
        <w:spacing w:after="0" w:line="240" w:lineRule="auto"/>
        <w:rPr>
          <w:rFonts w:cstheme="minorHAnsi"/>
          <w:iCs/>
          <w:sz w:val="24"/>
          <w:szCs w:val="24"/>
        </w:rPr>
      </w:pPr>
    </w:p>
    <w:p w14:paraId="02E2A8A6" w14:textId="77777777" w:rsidR="00C32CDE" w:rsidRPr="00FA0F1F" w:rsidRDefault="00C32CDE" w:rsidP="00C32CDE">
      <w:pPr>
        <w:spacing w:after="0" w:line="240" w:lineRule="auto"/>
        <w:rPr>
          <w:rFonts w:cstheme="minorHAnsi"/>
          <w:iCs/>
          <w:sz w:val="24"/>
          <w:szCs w:val="24"/>
        </w:rPr>
      </w:pPr>
      <w:r w:rsidRPr="00FA0F1F">
        <w:rPr>
          <w:rFonts w:cstheme="minorHAnsi"/>
          <w:iCs/>
          <w:sz w:val="24"/>
          <w:szCs w:val="24"/>
        </w:rPr>
        <w:t>Follow-up services are critical services provided following a youth’s exit from the program to help ensure the youth is successful in employment and/or post-secondary education and training.</w:t>
      </w:r>
    </w:p>
    <w:p w14:paraId="4C6C8899" w14:textId="77777777" w:rsidR="00C32CDE" w:rsidRPr="00FA0F1F" w:rsidRDefault="00C32CDE" w:rsidP="00C32CDE">
      <w:pPr>
        <w:spacing w:after="0" w:line="240" w:lineRule="auto"/>
        <w:rPr>
          <w:rFonts w:cstheme="minorHAnsi"/>
          <w:iCs/>
          <w:sz w:val="24"/>
          <w:szCs w:val="24"/>
        </w:rPr>
      </w:pPr>
      <w:r w:rsidRPr="00FA0F1F">
        <w:rPr>
          <w:rFonts w:cstheme="minorHAnsi"/>
          <w:iCs/>
          <w:sz w:val="24"/>
          <w:szCs w:val="24"/>
        </w:rPr>
        <w:t>Staff responsible for WIOA funded Youth Services, must ensure follow up services are appropriately provided and documented.</w:t>
      </w:r>
    </w:p>
    <w:p w14:paraId="7AC13A6F" w14:textId="77777777" w:rsidR="00C32CDE" w:rsidRPr="00FA0F1F" w:rsidRDefault="00C32CDE" w:rsidP="00C32CDE">
      <w:pPr>
        <w:spacing w:after="0" w:line="240" w:lineRule="auto"/>
        <w:rPr>
          <w:rFonts w:cstheme="minorHAnsi"/>
          <w:iCs/>
          <w:sz w:val="24"/>
          <w:szCs w:val="24"/>
        </w:rPr>
      </w:pPr>
    </w:p>
    <w:p w14:paraId="61EBB7E6" w14:textId="4D8EB17C" w:rsidR="00C32CDE" w:rsidRPr="00FA0F1F" w:rsidRDefault="00C32CDE" w:rsidP="00C32CDE">
      <w:pPr>
        <w:spacing w:after="0" w:line="240" w:lineRule="auto"/>
        <w:rPr>
          <w:rFonts w:cstheme="minorHAnsi"/>
          <w:b/>
          <w:iCs/>
          <w:sz w:val="24"/>
          <w:szCs w:val="24"/>
        </w:rPr>
      </w:pPr>
      <w:r w:rsidRPr="00FA0F1F">
        <w:rPr>
          <w:rFonts w:cstheme="minorHAnsi"/>
          <w:b/>
          <w:iCs/>
          <w:sz w:val="24"/>
          <w:szCs w:val="24"/>
        </w:rPr>
        <w:t>P</w:t>
      </w:r>
      <w:r w:rsidR="00FA0F1F" w:rsidRPr="00FA0F1F">
        <w:rPr>
          <w:rFonts w:cstheme="minorHAnsi"/>
          <w:b/>
          <w:iCs/>
          <w:sz w:val="24"/>
          <w:szCs w:val="24"/>
        </w:rPr>
        <w:t>rocedures</w:t>
      </w:r>
    </w:p>
    <w:p w14:paraId="2AFACAE6" w14:textId="77777777" w:rsidR="00C32CDE" w:rsidRPr="00FA0F1F" w:rsidRDefault="00C32CDE" w:rsidP="00C32CDE">
      <w:pPr>
        <w:spacing w:after="0" w:line="240" w:lineRule="auto"/>
        <w:rPr>
          <w:rFonts w:cstheme="minorHAnsi"/>
          <w:iCs/>
          <w:sz w:val="24"/>
          <w:szCs w:val="24"/>
        </w:rPr>
      </w:pPr>
    </w:p>
    <w:p w14:paraId="724692F2" w14:textId="77777777" w:rsidR="00C32CDE" w:rsidRPr="00FA0F1F" w:rsidRDefault="00C32CDE" w:rsidP="00C32CDE">
      <w:pPr>
        <w:spacing w:after="0" w:line="240" w:lineRule="auto"/>
        <w:rPr>
          <w:rFonts w:cstheme="minorHAnsi"/>
          <w:iCs/>
          <w:sz w:val="24"/>
          <w:szCs w:val="24"/>
        </w:rPr>
      </w:pPr>
      <w:r w:rsidRPr="00FA0F1F">
        <w:rPr>
          <w:rFonts w:cstheme="minorHAnsi"/>
          <w:iCs/>
          <w:sz w:val="24"/>
          <w:szCs w:val="24"/>
        </w:rPr>
        <w:t>All youth will receive 12 months of follow-up services after their exit from WIOA. Monthly, not less than one case note describing the follow-up services that each exited youth has received during the past month will be entered into the Virginia Workforce Connection system (VAWC).</w:t>
      </w:r>
    </w:p>
    <w:p w14:paraId="0E0ADD99" w14:textId="77777777" w:rsidR="00C32CDE" w:rsidRPr="00FA0F1F" w:rsidRDefault="00C32CDE" w:rsidP="00C32CDE">
      <w:pPr>
        <w:spacing w:after="0" w:line="240" w:lineRule="auto"/>
        <w:rPr>
          <w:rFonts w:cstheme="minorHAnsi"/>
          <w:iCs/>
          <w:sz w:val="24"/>
          <w:szCs w:val="24"/>
        </w:rPr>
      </w:pPr>
      <w:bookmarkStart w:id="0" w:name="_GoBack"/>
      <w:bookmarkEnd w:id="0"/>
      <w:r w:rsidRPr="00FA0F1F">
        <w:rPr>
          <w:rFonts w:cstheme="minorHAnsi"/>
          <w:iCs/>
          <w:sz w:val="24"/>
          <w:szCs w:val="24"/>
        </w:rPr>
        <w:lastRenderedPageBreak/>
        <w:t xml:space="preserve">The follow-up services that a youth receives will be based on the individual needs of the youth. </w:t>
      </w:r>
    </w:p>
    <w:p w14:paraId="51E3DCA5" w14:textId="77777777" w:rsidR="00C32CDE" w:rsidRPr="00FA0F1F" w:rsidRDefault="00C32CDE" w:rsidP="00C32CDE">
      <w:pPr>
        <w:spacing w:after="0" w:line="240" w:lineRule="auto"/>
        <w:rPr>
          <w:rFonts w:cstheme="minorHAnsi"/>
          <w:iCs/>
          <w:sz w:val="24"/>
          <w:szCs w:val="24"/>
        </w:rPr>
      </w:pPr>
      <w:r w:rsidRPr="00FA0F1F">
        <w:rPr>
          <w:rFonts w:cstheme="minorHAnsi"/>
          <w:iCs/>
          <w:sz w:val="24"/>
          <w:szCs w:val="24"/>
        </w:rPr>
        <w:t>Those services may include the following (from WIOA Regulations Sec. 681.580):</w:t>
      </w:r>
    </w:p>
    <w:p w14:paraId="2D948A46" w14:textId="77777777" w:rsidR="00C32CDE" w:rsidRPr="00FA0F1F" w:rsidRDefault="00C32CDE" w:rsidP="00C32CDE">
      <w:pPr>
        <w:spacing w:after="0" w:line="240" w:lineRule="auto"/>
        <w:rPr>
          <w:rFonts w:cstheme="minorHAnsi"/>
          <w:iCs/>
          <w:sz w:val="24"/>
          <w:szCs w:val="24"/>
        </w:rPr>
      </w:pPr>
    </w:p>
    <w:p w14:paraId="36895B39" w14:textId="77777777" w:rsidR="00C32CDE" w:rsidRPr="00FA0F1F" w:rsidRDefault="00C32CDE" w:rsidP="008153C7">
      <w:pPr>
        <w:spacing w:after="0" w:line="240" w:lineRule="auto"/>
        <w:ind w:firstLine="720"/>
        <w:rPr>
          <w:rFonts w:cstheme="minorHAnsi"/>
          <w:iCs/>
          <w:sz w:val="24"/>
          <w:szCs w:val="24"/>
        </w:rPr>
      </w:pPr>
      <w:r w:rsidRPr="00FA0F1F">
        <w:rPr>
          <w:rFonts w:cstheme="minorHAnsi"/>
          <w:iCs/>
          <w:sz w:val="24"/>
          <w:szCs w:val="24"/>
        </w:rPr>
        <w:t>1.</w:t>
      </w:r>
      <w:r w:rsidRPr="00FA0F1F">
        <w:rPr>
          <w:rFonts w:cstheme="minorHAnsi"/>
          <w:iCs/>
          <w:sz w:val="24"/>
          <w:szCs w:val="24"/>
        </w:rPr>
        <w:tab/>
        <w:t>Leadership development and supportive services listed in WIOA Regulations Sec.</w:t>
      </w:r>
    </w:p>
    <w:p w14:paraId="4E7D7199" w14:textId="77777777" w:rsidR="00C32CDE" w:rsidRPr="00FA0F1F" w:rsidRDefault="00C32CDE" w:rsidP="008153C7">
      <w:pPr>
        <w:spacing w:after="0" w:line="240" w:lineRule="auto"/>
        <w:ind w:left="720" w:firstLine="720"/>
        <w:rPr>
          <w:rFonts w:cstheme="minorHAnsi"/>
          <w:iCs/>
          <w:sz w:val="24"/>
          <w:szCs w:val="24"/>
        </w:rPr>
      </w:pPr>
      <w:r w:rsidRPr="00FA0F1F">
        <w:rPr>
          <w:rFonts w:cstheme="minorHAnsi"/>
          <w:iCs/>
          <w:sz w:val="24"/>
          <w:szCs w:val="24"/>
        </w:rPr>
        <w:t>681.520 and Section 681.570 (see Definitions);</w:t>
      </w:r>
    </w:p>
    <w:p w14:paraId="3D7BD6E5" w14:textId="77777777" w:rsidR="00C32CDE" w:rsidRPr="00FA0F1F" w:rsidRDefault="00C32CDE" w:rsidP="008153C7">
      <w:pPr>
        <w:spacing w:after="0" w:line="240" w:lineRule="auto"/>
        <w:ind w:left="1440" w:hanging="720"/>
        <w:rPr>
          <w:rFonts w:cstheme="minorHAnsi"/>
          <w:iCs/>
          <w:sz w:val="24"/>
          <w:szCs w:val="24"/>
        </w:rPr>
      </w:pPr>
      <w:r w:rsidRPr="00FA0F1F">
        <w:rPr>
          <w:rFonts w:cstheme="minorHAnsi"/>
          <w:iCs/>
          <w:sz w:val="24"/>
          <w:szCs w:val="24"/>
        </w:rPr>
        <w:t>2.</w:t>
      </w:r>
      <w:r w:rsidRPr="00FA0F1F">
        <w:rPr>
          <w:rFonts w:cstheme="minorHAnsi"/>
          <w:iCs/>
          <w:sz w:val="24"/>
          <w:szCs w:val="24"/>
        </w:rPr>
        <w:tab/>
        <w:t>Regular contact with a youth participant’s employer, including assistance in addressing work-related problems that arise;</w:t>
      </w:r>
    </w:p>
    <w:p w14:paraId="52EFE0A3" w14:textId="77777777" w:rsidR="00C32CDE" w:rsidRPr="00FA0F1F" w:rsidRDefault="00C32CDE" w:rsidP="008153C7">
      <w:pPr>
        <w:spacing w:after="0" w:line="240" w:lineRule="auto"/>
        <w:ind w:firstLine="720"/>
        <w:rPr>
          <w:rFonts w:cstheme="minorHAnsi"/>
          <w:iCs/>
          <w:sz w:val="24"/>
          <w:szCs w:val="24"/>
        </w:rPr>
      </w:pPr>
      <w:r w:rsidRPr="00FA0F1F">
        <w:rPr>
          <w:rFonts w:cstheme="minorHAnsi"/>
          <w:iCs/>
          <w:sz w:val="24"/>
          <w:szCs w:val="24"/>
        </w:rPr>
        <w:t>3.</w:t>
      </w:r>
      <w:r w:rsidRPr="00FA0F1F">
        <w:rPr>
          <w:rFonts w:cstheme="minorHAnsi"/>
          <w:iCs/>
          <w:sz w:val="24"/>
          <w:szCs w:val="24"/>
        </w:rPr>
        <w:tab/>
        <w:t>Assistance in securing better paying jobs, career development and further education;</w:t>
      </w:r>
    </w:p>
    <w:p w14:paraId="5789B810" w14:textId="77777777" w:rsidR="00C32CDE" w:rsidRPr="00FA0F1F" w:rsidRDefault="00C32CDE" w:rsidP="008153C7">
      <w:pPr>
        <w:spacing w:after="0" w:line="240" w:lineRule="auto"/>
        <w:ind w:firstLine="720"/>
        <w:rPr>
          <w:rFonts w:cstheme="minorHAnsi"/>
          <w:iCs/>
          <w:sz w:val="24"/>
          <w:szCs w:val="24"/>
        </w:rPr>
      </w:pPr>
      <w:r w:rsidRPr="00FA0F1F">
        <w:rPr>
          <w:rFonts w:cstheme="minorHAnsi"/>
          <w:iCs/>
          <w:sz w:val="24"/>
          <w:szCs w:val="24"/>
        </w:rPr>
        <w:t>4.</w:t>
      </w:r>
      <w:r w:rsidRPr="00FA0F1F">
        <w:rPr>
          <w:rFonts w:cstheme="minorHAnsi"/>
          <w:iCs/>
          <w:sz w:val="24"/>
          <w:szCs w:val="24"/>
        </w:rPr>
        <w:tab/>
        <w:t>Work-related peer support groups;</w:t>
      </w:r>
    </w:p>
    <w:p w14:paraId="59671866" w14:textId="77777777" w:rsidR="00C32CDE" w:rsidRPr="00FA0F1F" w:rsidRDefault="00C32CDE" w:rsidP="008153C7">
      <w:pPr>
        <w:spacing w:after="0" w:line="240" w:lineRule="auto"/>
        <w:ind w:firstLine="720"/>
        <w:rPr>
          <w:rFonts w:cstheme="minorHAnsi"/>
          <w:iCs/>
          <w:sz w:val="24"/>
          <w:szCs w:val="24"/>
        </w:rPr>
      </w:pPr>
      <w:r w:rsidRPr="00FA0F1F">
        <w:rPr>
          <w:rFonts w:cstheme="minorHAnsi"/>
          <w:iCs/>
          <w:sz w:val="24"/>
          <w:szCs w:val="24"/>
        </w:rPr>
        <w:t>5.</w:t>
      </w:r>
      <w:r w:rsidRPr="00FA0F1F">
        <w:rPr>
          <w:rFonts w:cstheme="minorHAnsi"/>
          <w:iCs/>
          <w:sz w:val="24"/>
          <w:szCs w:val="24"/>
        </w:rPr>
        <w:tab/>
        <w:t>Adult mentoring; and</w:t>
      </w:r>
    </w:p>
    <w:p w14:paraId="631FF20B" w14:textId="77777777" w:rsidR="00C32CDE" w:rsidRPr="00FA0F1F" w:rsidRDefault="00C32CDE" w:rsidP="008153C7">
      <w:pPr>
        <w:spacing w:after="0" w:line="240" w:lineRule="auto"/>
        <w:ind w:firstLine="720"/>
        <w:rPr>
          <w:rFonts w:cstheme="minorHAnsi"/>
          <w:iCs/>
          <w:sz w:val="24"/>
          <w:szCs w:val="24"/>
        </w:rPr>
      </w:pPr>
      <w:r w:rsidRPr="00FA0F1F">
        <w:rPr>
          <w:rFonts w:cstheme="minorHAnsi"/>
          <w:iCs/>
          <w:sz w:val="24"/>
          <w:szCs w:val="24"/>
        </w:rPr>
        <w:t>6.</w:t>
      </w:r>
      <w:r w:rsidRPr="00FA0F1F">
        <w:rPr>
          <w:rFonts w:cstheme="minorHAnsi"/>
          <w:iCs/>
          <w:sz w:val="24"/>
          <w:szCs w:val="24"/>
        </w:rPr>
        <w:tab/>
        <w:t>Tracking the progress of youth in employment and training.</w:t>
      </w:r>
    </w:p>
    <w:p w14:paraId="5B958CE6" w14:textId="77777777" w:rsidR="00C32CDE" w:rsidRPr="00FA0F1F" w:rsidRDefault="00C32CDE" w:rsidP="00C32CDE">
      <w:pPr>
        <w:spacing w:after="0" w:line="240" w:lineRule="auto"/>
        <w:rPr>
          <w:rFonts w:cstheme="minorHAnsi"/>
          <w:iCs/>
          <w:sz w:val="24"/>
          <w:szCs w:val="24"/>
        </w:rPr>
      </w:pPr>
    </w:p>
    <w:p w14:paraId="134B4BE4" w14:textId="77777777" w:rsidR="00C63810" w:rsidRPr="00FA0F1F" w:rsidRDefault="00C32CDE" w:rsidP="000C59FC">
      <w:pPr>
        <w:spacing w:after="0" w:line="240" w:lineRule="auto"/>
        <w:rPr>
          <w:rFonts w:cstheme="minorHAnsi"/>
          <w:iCs/>
          <w:sz w:val="24"/>
          <w:szCs w:val="24"/>
        </w:rPr>
      </w:pPr>
      <w:r w:rsidRPr="00FA0F1F">
        <w:rPr>
          <w:rFonts w:cstheme="minorHAnsi"/>
          <w:iCs/>
          <w:sz w:val="24"/>
          <w:szCs w:val="24"/>
        </w:rPr>
        <w:t>All youth participants must receive some form of follow-up services for a minimum duration of 12 months, as required by WIOA Regulations 664.450; and case notes will sufficiently describe the follow- up service provided.</w:t>
      </w:r>
    </w:p>
    <w:p w14:paraId="4AAB38BA" w14:textId="77777777" w:rsidR="008153C7" w:rsidRPr="00FA0F1F" w:rsidRDefault="008153C7" w:rsidP="000C59FC">
      <w:pPr>
        <w:spacing w:after="0" w:line="240" w:lineRule="auto"/>
        <w:rPr>
          <w:rFonts w:cstheme="minorHAnsi"/>
          <w:b/>
          <w:bCs/>
          <w:sz w:val="24"/>
          <w:szCs w:val="24"/>
        </w:rPr>
      </w:pPr>
    </w:p>
    <w:p w14:paraId="25AC1BAD" w14:textId="628E3C6E" w:rsidR="008153C7" w:rsidRPr="00FA0F1F" w:rsidRDefault="008153C7" w:rsidP="008153C7">
      <w:pPr>
        <w:spacing w:after="0" w:line="240" w:lineRule="auto"/>
        <w:rPr>
          <w:rFonts w:cstheme="minorHAnsi"/>
          <w:b/>
          <w:iCs/>
          <w:sz w:val="24"/>
          <w:szCs w:val="24"/>
        </w:rPr>
      </w:pPr>
      <w:r w:rsidRPr="00FA0F1F">
        <w:rPr>
          <w:rFonts w:cstheme="minorHAnsi"/>
          <w:b/>
          <w:iCs/>
          <w:sz w:val="24"/>
          <w:szCs w:val="24"/>
        </w:rPr>
        <w:t>D</w:t>
      </w:r>
      <w:r w:rsidR="00FA0F1F" w:rsidRPr="00FA0F1F">
        <w:rPr>
          <w:rFonts w:cstheme="minorHAnsi"/>
          <w:b/>
          <w:iCs/>
          <w:sz w:val="24"/>
          <w:szCs w:val="24"/>
        </w:rPr>
        <w:t>efinitions</w:t>
      </w:r>
    </w:p>
    <w:p w14:paraId="56AE8919" w14:textId="77777777" w:rsidR="008153C7" w:rsidRPr="00FA0F1F" w:rsidRDefault="008153C7" w:rsidP="008153C7">
      <w:pPr>
        <w:spacing w:after="0" w:line="240" w:lineRule="auto"/>
        <w:rPr>
          <w:rFonts w:cstheme="minorHAnsi"/>
          <w:iCs/>
          <w:sz w:val="24"/>
          <w:szCs w:val="24"/>
        </w:rPr>
      </w:pPr>
    </w:p>
    <w:p w14:paraId="00CE6857" w14:textId="77777777" w:rsidR="008153C7" w:rsidRPr="00FA0F1F" w:rsidRDefault="008153C7" w:rsidP="008153C7">
      <w:pPr>
        <w:spacing w:after="0" w:line="240" w:lineRule="auto"/>
        <w:rPr>
          <w:rFonts w:cstheme="minorHAnsi"/>
          <w:iCs/>
          <w:sz w:val="24"/>
          <w:szCs w:val="24"/>
        </w:rPr>
      </w:pPr>
      <w:r w:rsidRPr="00FA0F1F">
        <w:rPr>
          <w:rFonts w:cstheme="minorHAnsi"/>
          <w:iCs/>
          <w:sz w:val="24"/>
          <w:szCs w:val="24"/>
        </w:rPr>
        <w:t>Section 681.520 Leadership Development:</w:t>
      </w:r>
    </w:p>
    <w:p w14:paraId="0985866F" w14:textId="77777777" w:rsidR="008153C7" w:rsidRPr="00FA0F1F" w:rsidRDefault="008153C7" w:rsidP="008153C7">
      <w:pPr>
        <w:spacing w:after="0" w:line="240" w:lineRule="auto"/>
        <w:rPr>
          <w:rFonts w:cstheme="minorHAnsi"/>
          <w:iCs/>
          <w:sz w:val="24"/>
          <w:szCs w:val="24"/>
        </w:rPr>
      </w:pPr>
    </w:p>
    <w:p w14:paraId="628305F9" w14:textId="77777777" w:rsidR="008153C7" w:rsidRPr="00FA0F1F" w:rsidRDefault="008153C7" w:rsidP="008153C7">
      <w:pPr>
        <w:spacing w:after="0" w:line="240" w:lineRule="auto"/>
        <w:rPr>
          <w:rFonts w:cstheme="minorHAnsi"/>
          <w:iCs/>
          <w:sz w:val="24"/>
          <w:szCs w:val="24"/>
        </w:rPr>
      </w:pPr>
      <w:r w:rsidRPr="00FA0F1F">
        <w:rPr>
          <w:rFonts w:cstheme="minorHAnsi"/>
          <w:iCs/>
          <w:sz w:val="24"/>
          <w:szCs w:val="24"/>
        </w:rPr>
        <w:t>Leadership development opportunities are opportunities that encourage responsibility, employability, self-determination, and other positive social behaviors such as:</w:t>
      </w:r>
    </w:p>
    <w:p w14:paraId="578908E5" w14:textId="77777777" w:rsidR="008153C7" w:rsidRPr="00FA0F1F" w:rsidRDefault="008153C7" w:rsidP="008153C7">
      <w:pPr>
        <w:spacing w:after="0" w:line="240" w:lineRule="auto"/>
        <w:ind w:firstLine="720"/>
        <w:rPr>
          <w:rFonts w:cstheme="minorHAnsi"/>
          <w:iCs/>
          <w:sz w:val="24"/>
          <w:szCs w:val="24"/>
        </w:rPr>
      </w:pPr>
    </w:p>
    <w:p w14:paraId="3F271CD9" w14:textId="77777777" w:rsidR="008153C7" w:rsidRPr="00FA0F1F" w:rsidRDefault="008153C7" w:rsidP="008153C7">
      <w:pPr>
        <w:spacing w:after="0" w:line="240" w:lineRule="auto"/>
        <w:ind w:firstLine="720"/>
        <w:rPr>
          <w:rFonts w:cstheme="minorHAnsi"/>
          <w:iCs/>
          <w:sz w:val="24"/>
          <w:szCs w:val="24"/>
        </w:rPr>
      </w:pPr>
      <w:r w:rsidRPr="00FA0F1F">
        <w:rPr>
          <w:rFonts w:cstheme="minorHAnsi"/>
          <w:iCs/>
          <w:sz w:val="24"/>
          <w:szCs w:val="24"/>
        </w:rPr>
        <w:t>(a)</w:t>
      </w:r>
      <w:r w:rsidRPr="00FA0F1F">
        <w:rPr>
          <w:rFonts w:cstheme="minorHAnsi"/>
          <w:iCs/>
          <w:sz w:val="24"/>
          <w:szCs w:val="24"/>
        </w:rPr>
        <w:tab/>
        <w:t>Exposure to postsecondary educational opportunities;</w:t>
      </w:r>
    </w:p>
    <w:p w14:paraId="5A8A7AA3" w14:textId="77777777" w:rsidR="008153C7" w:rsidRPr="00FA0F1F" w:rsidRDefault="008153C7" w:rsidP="008153C7">
      <w:pPr>
        <w:spacing w:after="0" w:line="240" w:lineRule="auto"/>
        <w:ind w:firstLine="720"/>
        <w:rPr>
          <w:rFonts w:cstheme="minorHAnsi"/>
          <w:iCs/>
          <w:sz w:val="24"/>
          <w:szCs w:val="24"/>
        </w:rPr>
      </w:pPr>
      <w:r w:rsidRPr="00FA0F1F">
        <w:rPr>
          <w:rFonts w:cstheme="minorHAnsi"/>
          <w:iCs/>
          <w:sz w:val="24"/>
          <w:szCs w:val="24"/>
        </w:rPr>
        <w:t>(b)</w:t>
      </w:r>
      <w:r w:rsidRPr="00FA0F1F">
        <w:rPr>
          <w:rFonts w:cstheme="minorHAnsi"/>
          <w:iCs/>
          <w:sz w:val="24"/>
          <w:szCs w:val="24"/>
        </w:rPr>
        <w:tab/>
        <w:t>Community and service learning projects;</w:t>
      </w:r>
    </w:p>
    <w:p w14:paraId="0D8F95D6" w14:textId="77777777" w:rsidR="008153C7" w:rsidRPr="00FA0F1F" w:rsidRDefault="008153C7" w:rsidP="008153C7">
      <w:pPr>
        <w:spacing w:after="0" w:line="240" w:lineRule="auto"/>
        <w:ind w:firstLine="720"/>
        <w:rPr>
          <w:rFonts w:cstheme="minorHAnsi"/>
          <w:iCs/>
          <w:sz w:val="24"/>
          <w:szCs w:val="24"/>
        </w:rPr>
      </w:pPr>
      <w:r w:rsidRPr="00FA0F1F">
        <w:rPr>
          <w:rFonts w:cstheme="minorHAnsi"/>
          <w:iCs/>
          <w:sz w:val="24"/>
          <w:szCs w:val="24"/>
        </w:rPr>
        <w:t>(c)</w:t>
      </w:r>
      <w:r w:rsidRPr="00FA0F1F">
        <w:rPr>
          <w:rFonts w:cstheme="minorHAnsi"/>
          <w:iCs/>
          <w:sz w:val="24"/>
          <w:szCs w:val="24"/>
        </w:rPr>
        <w:tab/>
        <w:t>Peer-centered activities, including peer mentoring and tutoring;</w:t>
      </w:r>
    </w:p>
    <w:p w14:paraId="5873E551" w14:textId="77777777" w:rsidR="008153C7" w:rsidRPr="00FA0F1F" w:rsidRDefault="008153C7" w:rsidP="008153C7">
      <w:pPr>
        <w:spacing w:after="0" w:line="240" w:lineRule="auto"/>
        <w:ind w:firstLine="720"/>
        <w:rPr>
          <w:rFonts w:cstheme="minorHAnsi"/>
          <w:iCs/>
          <w:sz w:val="24"/>
          <w:szCs w:val="24"/>
        </w:rPr>
      </w:pPr>
      <w:r w:rsidRPr="00FA0F1F">
        <w:rPr>
          <w:rFonts w:cstheme="minorHAnsi"/>
          <w:iCs/>
          <w:sz w:val="24"/>
          <w:szCs w:val="24"/>
        </w:rPr>
        <w:t>(d)</w:t>
      </w:r>
      <w:r w:rsidRPr="00FA0F1F">
        <w:rPr>
          <w:rFonts w:cstheme="minorHAnsi"/>
          <w:iCs/>
          <w:sz w:val="24"/>
          <w:szCs w:val="24"/>
        </w:rPr>
        <w:tab/>
        <w:t>Organizational and team work training, including team leadership training;</w:t>
      </w:r>
    </w:p>
    <w:p w14:paraId="71314591" w14:textId="77777777" w:rsidR="008153C7" w:rsidRPr="00FA0F1F" w:rsidRDefault="008153C7" w:rsidP="008153C7">
      <w:pPr>
        <w:spacing w:after="0" w:line="240" w:lineRule="auto"/>
        <w:ind w:left="1440" w:hanging="720"/>
        <w:rPr>
          <w:rFonts w:cstheme="minorHAnsi"/>
          <w:iCs/>
          <w:sz w:val="24"/>
          <w:szCs w:val="24"/>
        </w:rPr>
      </w:pPr>
      <w:r w:rsidRPr="00FA0F1F">
        <w:rPr>
          <w:rFonts w:cstheme="minorHAnsi"/>
          <w:iCs/>
          <w:sz w:val="24"/>
          <w:szCs w:val="24"/>
        </w:rPr>
        <w:t>(e)</w:t>
      </w:r>
      <w:r w:rsidRPr="00FA0F1F">
        <w:rPr>
          <w:rFonts w:cstheme="minorHAnsi"/>
          <w:iCs/>
          <w:sz w:val="24"/>
          <w:szCs w:val="24"/>
        </w:rPr>
        <w:tab/>
        <w:t>Training in decision-making, including determining priorities and problem solving;</w:t>
      </w:r>
    </w:p>
    <w:p w14:paraId="0A46B029" w14:textId="77777777" w:rsidR="008153C7" w:rsidRPr="00FA0F1F" w:rsidRDefault="008153C7" w:rsidP="008153C7">
      <w:pPr>
        <w:spacing w:after="0" w:line="240" w:lineRule="auto"/>
        <w:ind w:left="1440" w:hanging="720"/>
        <w:rPr>
          <w:rFonts w:cstheme="minorHAnsi"/>
          <w:iCs/>
          <w:sz w:val="24"/>
          <w:szCs w:val="24"/>
        </w:rPr>
      </w:pPr>
      <w:r w:rsidRPr="00FA0F1F">
        <w:rPr>
          <w:rFonts w:cstheme="minorHAnsi"/>
          <w:iCs/>
          <w:sz w:val="24"/>
          <w:szCs w:val="24"/>
        </w:rPr>
        <w:t>(f)</w:t>
      </w:r>
      <w:r w:rsidRPr="00FA0F1F">
        <w:rPr>
          <w:rFonts w:cstheme="minorHAnsi"/>
          <w:iCs/>
          <w:sz w:val="24"/>
          <w:szCs w:val="24"/>
        </w:rPr>
        <w:tab/>
        <w:t>Citizenship training, including life skills training such as parenting, work behavior training:</w:t>
      </w:r>
    </w:p>
    <w:p w14:paraId="54E0B856" w14:textId="77777777" w:rsidR="008153C7" w:rsidRPr="00FA0F1F" w:rsidRDefault="008153C7" w:rsidP="008153C7">
      <w:pPr>
        <w:spacing w:after="0" w:line="240" w:lineRule="auto"/>
        <w:ind w:left="1440" w:hanging="720"/>
        <w:rPr>
          <w:rFonts w:cstheme="minorHAnsi"/>
          <w:iCs/>
          <w:sz w:val="24"/>
          <w:szCs w:val="24"/>
        </w:rPr>
      </w:pPr>
      <w:r w:rsidRPr="00FA0F1F">
        <w:rPr>
          <w:rFonts w:cstheme="minorHAnsi"/>
          <w:iCs/>
          <w:sz w:val="24"/>
          <w:szCs w:val="24"/>
        </w:rPr>
        <w:t>(g)</w:t>
      </w:r>
      <w:r w:rsidRPr="00FA0F1F">
        <w:rPr>
          <w:rFonts w:cstheme="minorHAnsi"/>
          <w:iCs/>
          <w:sz w:val="24"/>
          <w:szCs w:val="24"/>
        </w:rPr>
        <w:tab/>
        <w:t>Civic engagement activities which promote the quality of life in a community; and</w:t>
      </w:r>
    </w:p>
    <w:p w14:paraId="4C0C91DC" w14:textId="77777777" w:rsidR="008153C7" w:rsidRPr="00FA0F1F" w:rsidRDefault="008153C7" w:rsidP="008153C7">
      <w:pPr>
        <w:spacing w:after="0" w:line="240" w:lineRule="auto"/>
        <w:ind w:left="1440" w:hanging="720"/>
        <w:rPr>
          <w:rFonts w:cstheme="minorHAnsi"/>
          <w:iCs/>
          <w:sz w:val="24"/>
          <w:szCs w:val="24"/>
        </w:rPr>
      </w:pPr>
      <w:r w:rsidRPr="00FA0F1F">
        <w:rPr>
          <w:rFonts w:cstheme="minorHAnsi"/>
          <w:iCs/>
          <w:sz w:val="24"/>
          <w:szCs w:val="24"/>
        </w:rPr>
        <w:t>(h)</w:t>
      </w:r>
      <w:r w:rsidRPr="00FA0F1F">
        <w:rPr>
          <w:rFonts w:cstheme="minorHAnsi"/>
          <w:iCs/>
          <w:sz w:val="24"/>
          <w:szCs w:val="24"/>
        </w:rPr>
        <w:tab/>
        <w:t>Other leadership activities that place youth in a leadership role such as serving on youth leadership committees, such as a Standing Youth Committee. [WIOA sec. 129(c)(2)(F)].</w:t>
      </w:r>
    </w:p>
    <w:p w14:paraId="19447DDD" w14:textId="77777777" w:rsidR="008153C7" w:rsidRPr="00FA0F1F" w:rsidRDefault="008153C7" w:rsidP="008153C7">
      <w:pPr>
        <w:spacing w:after="0" w:line="240" w:lineRule="auto"/>
        <w:rPr>
          <w:rFonts w:cstheme="minorHAnsi"/>
          <w:iCs/>
          <w:sz w:val="24"/>
          <w:szCs w:val="24"/>
        </w:rPr>
      </w:pPr>
    </w:p>
    <w:p w14:paraId="739D5210" w14:textId="77777777" w:rsidR="008153C7" w:rsidRPr="00FA0F1F" w:rsidRDefault="008153C7" w:rsidP="008153C7">
      <w:pPr>
        <w:spacing w:after="0" w:line="240" w:lineRule="auto"/>
        <w:rPr>
          <w:rFonts w:cstheme="minorHAnsi"/>
          <w:iCs/>
          <w:sz w:val="24"/>
          <w:szCs w:val="24"/>
        </w:rPr>
      </w:pPr>
      <w:r w:rsidRPr="00FA0F1F">
        <w:rPr>
          <w:rFonts w:cstheme="minorHAnsi"/>
          <w:iCs/>
          <w:sz w:val="24"/>
          <w:szCs w:val="24"/>
        </w:rPr>
        <w:t>Section 681.570 Supportive Services:</w:t>
      </w:r>
    </w:p>
    <w:p w14:paraId="7562144A" w14:textId="77777777" w:rsidR="008153C7" w:rsidRPr="00FA0F1F" w:rsidRDefault="008153C7" w:rsidP="008153C7">
      <w:pPr>
        <w:spacing w:after="0" w:line="240" w:lineRule="auto"/>
        <w:rPr>
          <w:rFonts w:cstheme="minorHAnsi"/>
          <w:iCs/>
          <w:sz w:val="24"/>
          <w:szCs w:val="24"/>
        </w:rPr>
      </w:pPr>
    </w:p>
    <w:p w14:paraId="4EB14B0D" w14:textId="77777777" w:rsidR="008153C7" w:rsidRPr="00FA0F1F" w:rsidRDefault="008153C7" w:rsidP="008153C7">
      <w:pPr>
        <w:spacing w:after="0" w:line="240" w:lineRule="auto"/>
        <w:rPr>
          <w:rFonts w:cstheme="minorHAnsi"/>
          <w:iCs/>
          <w:sz w:val="24"/>
          <w:szCs w:val="24"/>
        </w:rPr>
      </w:pPr>
      <w:r w:rsidRPr="00FA0F1F">
        <w:rPr>
          <w:rFonts w:cstheme="minorHAnsi"/>
          <w:iCs/>
          <w:sz w:val="24"/>
          <w:szCs w:val="24"/>
        </w:rPr>
        <w:t>Supportive services for youth, as defined in WIOA section 3(59), may include the following:</w:t>
      </w:r>
    </w:p>
    <w:p w14:paraId="0299086B" w14:textId="77777777" w:rsidR="008153C7" w:rsidRPr="00FA0F1F" w:rsidRDefault="008153C7" w:rsidP="008153C7">
      <w:pPr>
        <w:spacing w:after="0" w:line="240" w:lineRule="auto"/>
        <w:ind w:firstLine="720"/>
        <w:rPr>
          <w:rFonts w:cstheme="minorHAnsi"/>
          <w:iCs/>
          <w:sz w:val="24"/>
          <w:szCs w:val="24"/>
        </w:rPr>
      </w:pPr>
    </w:p>
    <w:p w14:paraId="43E4AA6B" w14:textId="77777777" w:rsidR="008153C7" w:rsidRPr="00FA0F1F" w:rsidRDefault="008153C7" w:rsidP="008153C7">
      <w:pPr>
        <w:spacing w:after="0" w:line="240" w:lineRule="auto"/>
        <w:ind w:firstLine="720"/>
        <w:rPr>
          <w:rFonts w:cstheme="minorHAnsi"/>
          <w:iCs/>
          <w:sz w:val="24"/>
          <w:szCs w:val="24"/>
        </w:rPr>
      </w:pPr>
      <w:r w:rsidRPr="00FA0F1F">
        <w:rPr>
          <w:rFonts w:cstheme="minorHAnsi"/>
          <w:iCs/>
          <w:sz w:val="24"/>
          <w:szCs w:val="24"/>
        </w:rPr>
        <w:t>(a)</w:t>
      </w:r>
      <w:r w:rsidRPr="00FA0F1F">
        <w:rPr>
          <w:rFonts w:cstheme="minorHAnsi"/>
          <w:iCs/>
          <w:sz w:val="24"/>
          <w:szCs w:val="24"/>
        </w:rPr>
        <w:tab/>
        <w:t>Linkages to community services;</w:t>
      </w:r>
    </w:p>
    <w:p w14:paraId="366A9188" w14:textId="77777777" w:rsidR="008153C7" w:rsidRPr="00FA0F1F" w:rsidRDefault="008153C7" w:rsidP="008153C7">
      <w:pPr>
        <w:spacing w:after="0" w:line="240" w:lineRule="auto"/>
        <w:ind w:firstLine="720"/>
        <w:rPr>
          <w:rFonts w:cstheme="minorHAnsi"/>
          <w:iCs/>
          <w:sz w:val="24"/>
          <w:szCs w:val="24"/>
        </w:rPr>
      </w:pPr>
      <w:r w:rsidRPr="00FA0F1F">
        <w:rPr>
          <w:rFonts w:cstheme="minorHAnsi"/>
          <w:iCs/>
          <w:sz w:val="24"/>
          <w:szCs w:val="24"/>
        </w:rPr>
        <w:t>(b)</w:t>
      </w:r>
      <w:r w:rsidRPr="00FA0F1F">
        <w:rPr>
          <w:rFonts w:cstheme="minorHAnsi"/>
          <w:iCs/>
          <w:sz w:val="24"/>
          <w:szCs w:val="24"/>
        </w:rPr>
        <w:tab/>
        <w:t>Assistance with transportation;</w:t>
      </w:r>
    </w:p>
    <w:p w14:paraId="315DE3E7" w14:textId="77777777" w:rsidR="008153C7" w:rsidRPr="00FA0F1F" w:rsidRDefault="008153C7" w:rsidP="008153C7">
      <w:pPr>
        <w:spacing w:after="0" w:line="240" w:lineRule="auto"/>
        <w:ind w:firstLine="720"/>
        <w:rPr>
          <w:rFonts w:cstheme="minorHAnsi"/>
          <w:iCs/>
          <w:sz w:val="24"/>
          <w:szCs w:val="24"/>
        </w:rPr>
      </w:pPr>
      <w:r w:rsidRPr="00FA0F1F">
        <w:rPr>
          <w:rFonts w:cstheme="minorHAnsi"/>
          <w:iCs/>
          <w:sz w:val="24"/>
          <w:szCs w:val="24"/>
        </w:rPr>
        <w:lastRenderedPageBreak/>
        <w:t>(c)</w:t>
      </w:r>
      <w:r w:rsidRPr="00FA0F1F">
        <w:rPr>
          <w:rFonts w:cstheme="minorHAnsi"/>
          <w:iCs/>
          <w:sz w:val="24"/>
          <w:szCs w:val="24"/>
        </w:rPr>
        <w:tab/>
        <w:t>Assistance with child care and dependent care;</w:t>
      </w:r>
    </w:p>
    <w:p w14:paraId="79FCD20E" w14:textId="77777777" w:rsidR="008153C7" w:rsidRPr="00FA0F1F" w:rsidRDefault="008153C7" w:rsidP="008153C7">
      <w:pPr>
        <w:spacing w:after="0" w:line="240" w:lineRule="auto"/>
        <w:ind w:firstLine="720"/>
        <w:rPr>
          <w:rFonts w:cstheme="minorHAnsi"/>
          <w:iCs/>
          <w:sz w:val="24"/>
          <w:szCs w:val="24"/>
        </w:rPr>
      </w:pPr>
      <w:r w:rsidRPr="00FA0F1F">
        <w:rPr>
          <w:rFonts w:cstheme="minorHAnsi"/>
          <w:iCs/>
          <w:sz w:val="24"/>
          <w:szCs w:val="24"/>
        </w:rPr>
        <w:t>(d)</w:t>
      </w:r>
      <w:r w:rsidRPr="00FA0F1F">
        <w:rPr>
          <w:rFonts w:cstheme="minorHAnsi"/>
          <w:iCs/>
          <w:sz w:val="24"/>
          <w:szCs w:val="24"/>
        </w:rPr>
        <w:tab/>
        <w:t>Assistance with housing;</w:t>
      </w:r>
    </w:p>
    <w:p w14:paraId="73136BAD" w14:textId="77777777" w:rsidR="008153C7" w:rsidRPr="00FA0F1F" w:rsidRDefault="008153C7" w:rsidP="008153C7">
      <w:pPr>
        <w:spacing w:after="0" w:line="240" w:lineRule="auto"/>
        <w:ind w:firstLine="720"/>
        <w:rPr>
          <w:rFonts w:cstheme="minorHAnsi"/>
          <w:iCs/>
          <w:sz w:val="24"/>
          <w:szCs w:val="24"/>
        </w:rPr>
      </w:pPr>
      <w:r w:rsidRPr="00FA0F1F">
        <w:rPr>
          <w:rFonts w:cstheme="minorHAnsi"/>
          <w:iCs/>
          <w:sz w:val="24"/>
          <w:szCs w:val="24"/>
        </w:rPr>
        <w:t>(e)</w:t>
      </w:r>
      <w:r w:rsidRPr="00FA0F1F">
        <w:rPr>
          <w:rFonts w:cstheme="minorHAnsi"/>
          <w:iCs/>
          <w:sz w:val="24"/>
          <w:szCs w:val="24"/>
        </w:rPr>
        <w:tab/>
        <w:t>Needs related payments;</w:t>
      </w:r>
    </w:p>
    <w:p w14:paraId="4B16D125" w14:textId="77777777" w:rsidR="008153C7" w:rsidRPr="00FA0F1F" w:rsidRDefault="008153C7" w:rsidP="008153C7">
      <w:pPr>
        <w:spacing w:after="0" w:line="240" w:lineRule="auto"/>
        <w:ind w:firstLine="720"/>
        <w:rPr>
          <w:rFonts w:cstheme="minorHAnsi"/>
          <w:iCs/>
          <w:sz w:val="24"/>
          <w:szCs w:val="24"/>
        </w:rPr>
      </w:pPr>
      <w:r w:rsidRPr="00FA0F1F">
        <w:rPr>
          <w:rFonts w:cstheme="minorHAnsi"/>
          <w:iCs/>
          <w:sz w:val="24"/>
          <w:szCs w:val="24"/>
        </w:rPr>
        <w:t>(f)</w:t>
      </w:r>
      <w:r w:rsidRPr="00FA0F1F">
        <w:rPr>
          <w:rFonts w:cstheme="minorHAnsi"/>
          <w:iCs/>
          <w:sz w:val="24"/>
          <w:szCs w:val="24"/>
        </w:rPr>
        <w:tab/>
        <w:t>Assistance with educational testing;</w:t>
      </w:r>
    </w:p>
    <w:p w14:paraId="456257AD" w14:textId="77777777" w:rsidR="008153C7" w:rsidRPr="00FA0F1F" w:rsidRDefault="008153C7" w:rsidP="008153C7">
      <w:pPr>
        <w:spacing w:after="0" w:line="240" w:lineRule="auto"/>
        <w:ind w:firstLine="720"/>
        <w:rPr>
          <w:rFonts w:cstheme="minorHAnsi"/>
          <w:iCs/>
          <w:sz w:val="24"/>
          <w:szCs w:val="24"/>
        </w:rPr>
      </w:pPr>
      <w:r w:rsidRPr="00FA0F1F">
        <w:rPr>
          <w:rFonts w:cstheme="minorHAnsi"/>
          <w:iCs/>
          <w:sz w:val="24"/>
          <w:szCs w:val="24"/>
        </w:rPr>
        <w:t>(g)</w:t>
      </w:r>
      <w:r w:rsidRPr="00FA0F1F">
        <w:rPr>
          <w:rFonts w:cstheme="minorHAnsi"/>
          <w:iCs/>
          <w:sz w:val="24"/>
          <w:szCs w:val="24"/>
        </w:rPr>
        <w:tab/>
        <w:t>Reasonable accommodations for youth with disabilities;</w:t>
      </w:r>
    </w:p>
    <w:p w14:paraId="68CA5C84" w14:textId="77777777" w:rsidR="008153C7" w:rsidRPr="00FA0F1F" w:rsidRDefault="008153C7" w:rsidP="008153C7">
      <w:pPr>
        <w:spacing w:after="0" w:line="240" w:lineRule="auto"/>
        <w:ind w:firstLine="720"/>
        <w:rPr>
          <w:rFonts w:cstheme="minorHAnsi"/>
          <w:iCs/>
          <w:sz w:val="24"/>
          <w:szCs w:val="24"/>
        </w:rPr>
      </w:pPr>
      <w:r w:rsidRPr="00FA0F1F">
        <w:rPr>
          <w:rFonts w:cstheme="minorHAnsi"/>
          <w:iCs/>
          <w:sz w:val="24"/>
          <w:szCs w:val="24"/>
        </w:rPr>
        <w:t>(h)</w:t>
      </w:r>
      <w:r w:rsidRPr="00FA0F1F">
        <w:rPr>
          <w:rFonts w:cstheme="minorHAnsi"/>
          <w:iCs/>
          <w:sz w:val="24"/>
          <w:szCs w:val="24"/>
        </w:rPr>
        <w:tab/>
        <w:t>Referrals to health services; and</w:t>
      </w:r>
    </w:p>
    <w:p w14:paraId="364C1789" w14:textId="77777777" w:rsidR="008153C7" w:rsidRPr="00FA0F1F" w:rsidRDefault="008153C7" w:rsidP="008153C7">
      <w:pPr>
        <w:spacing w:after="0" w:line="240" w:lineRule="auto"/>
        <w:ind w:left="1440" w:hanging="720"/>
        <w:rPr>
          <w:rFonts w:cstheme="minorHAnsi"/>
          <w:iCs/>
          <w:sz w:val="24"/>
          <w:szCs w:val="24"/>
        </w:rPr>
      </w:pPr>
      <w:r w:rsidRPr="00FA0F1F">
        <w:rPr>
          <w:rFonts w:cstheme="minorHAnsi"/>
          <w:iCs/>
          <w:sz w:val="24"/>
          <w:szCs w:val="24"/>
        </w:rPr>
        <w:t>(</w:t>
      </w:r>
      <w:proofErr w:type="spellStart"/>
      <w:r w:rsidRPr="00FA0F1F">
        <w:rPr>
          <w:rFonts w:cstheme="minorHAnsi"/>
          <w:iCs/>
          <w:sz w:val="24"/>
          <w:szCs w:val="24"/>
        </w:rPr>
        <w:t>i</w:t>
      </w:r>
      <w:proofErr w:type="spellEnd"/>
      <w:r w:rsidRPr="00FA0F1F">
        <w:rPr>
          <w:rFonts w:cstheme="minorHAnsi"/>
          <w:iCs/>
          <w:sz w:val="24"/>
          <w:szCs w:val="24"/>
        </w:rPr>
        <w:t>)</w:t>
      </w:r>
      <w:r w:rsidRPr="00FA0F1F">
        <w:rPr>
          <w:rFonts w:cstheme="minorHAnsi"/>
          <w:iCs/>
          <w:sz w:val="24"/>
          <w:szCs w:val="24"/>
        </w:rPr>
        <w:tab/>
        <w:t>Assistance with uniforms or other appropriate work attire and work-related tools, including such items as eye glasses and protective eye gear [WIOA sec. 129(c)(2)(G)].</w:t>
      </w:r>
    </w:p>
    <w:p w14:paraId="202FA59C" w14:textId="77777777" w:rsidR="008153C7" w:rsidRPr="00FA0F1F" w:rsidRDefault="008153C7" w:rsidP="000C59FC">
      <w:pPr>
        <w:spacing w:after="0" w:line="240" w:lineRule="auto"/>
        <w:rPr>
          <w:rFonts w:cstheme="minorHAnsi"/>
          <w:b/>
          <w:bCs/>
          <w:sz w:val="24"/>
          <w:szCs w:val="24"/>
        </w:rPr>
      </w:pPr>
    </w:p>
    <w:sectPr w:rsidR="008153C7" w:rsidRPr="00FA0F1F">
      <w:headerReference w:type="even"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2C52" w14:textId="77777777" w:rsidR="00EE4AE1" w:rsidRDefault="00EE4AE1" w:rsidP="00E636A7">
      <w:pPr>
        <w:spacing w:after="0" w:line="240" w:lineRule="auto"/>
      </w:pPr>
      <w:r>
        <w:separator/>
      </w:r>
    </w:p>
  </w:endnote>
  <w:endnote w:type="continuationSeparator" w:id="0">
    <w:p w14:paraId="51D01654" w14:textId="77777777" w:rsidR="00EE4AE1" w:rsidRDefault="00EE4AE1" w:rsidP="00E6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7E2E" w14:textId="77777777" w:rsidR="00AB15DB" w:rsidRDefault="00AB15DB">
    <w:pPr>
      <w:pStyle w:val="Footer"/>
    </w:pPr>
  </w:p>
  <w:p w14:paraId="3BA77C4F" w14:textId="77777777" w:rsidR="00AE7099" w:rsidRDefault="00AE70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38436"/>
      <w:docPartObj>
        <w:docPartGallery w:val="Page Numbers (Bottom of Page)"/>
        <w:docPartUnique/>
      </w:docPartObj>
    </w:sdtPr>
    <w:sdtEndPr>
      <w:rPr>
        <w:noProof/>
      </w:rPr>
    </w:sdtEndPr>
    <w:sdtContent>
      <w:p w14:paraId="5B7D7951" w14:textId="68F65C56" w:rsidR="00FA0F1F" w:rsidRDefault="00FA0F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AE77D4" w14:textId="77777777" w:rsidR="00AE7099" w:rsidRDefault="00AE7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F41C" w14:textId="77777777" w:rsidR="00EE4AE1" w:rsidRDefault="00EE4AE1" w:rsidP="00E636A7">
      <w:pPr>
        <w:spacing w:after="0" w:line="240" w:lineRule="auto"/>
      </w:pPr>
      <w:r>
        <w:separator/>
      </w:r>
    </w:p>
  </w:footnote>
  <w:footnote w:type="continuationSeparator" w:id="0">
    <w:p w14:paraId="721F4676" w14:textId="77777777" w:rsidR="00EE4AE1" w:rsidRDefault="00EE4AE1" w:rsidP="00E63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D6E6" w14:textId="77777777" w:rsidR="00AB15DB" w:rsidRDefault="00AB15DB">
    <w:pPr>
      <w:pStyle w:val="Header"/>
    </w:pPr>
  </w:p>
  <w:p w14:paraId="5E4BFDEF" w14:textId="77777777" w:rsidR="00AE7099" w:rsidRDefault="00AE70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2EA4"/>
    <w:multiLevelType w:val="hybridMultilevel"/>
    <w:tmpl w:val="F0F20C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40E76AB"/>
    <w:multiLevelType w:val="multilevel"/>
    <w:tmpl w:val="8650146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292477AD"/>
    <w:multiLevelType w:val="multilevel"/>
    <w:tmpl w:val="C55C094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38B70BBE"/>
    <w:multiLevelType w:val="hybridMultilevel"/>
    <w:tmpl w:val="594AF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75931"/>
    <w:multiLevelType w:val="singleLevel"/>
    <w:tmpl w:val="D7D6B31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542D16C9"/>
    <w:multiLevelType w:val="hybridMultilevel"/>
    <w:tmpl w:val="E006EBEA"/>
    <w:lvl w:ilvl="0" w:tplc="1D78F8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52650BD"/>
    <w:multiLevelType w:val="multilevel"/>
    <w:tmpl w:val="C55C094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7" w15:restartNumberingAfterBreak="0">
    <w:nsid w:val="7C7D1FA6"/>
    <w:multiLevelType w:val="hybridMultilevel"/>
    <w:tmpl w:val="D83617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6"/>
  </w:num>
  <w:num w:numId="3">
    <w:abstractNumId w:val="1"/>
  </w:num>
  <w:num w:numId="4">
    <w:abstractNumId w:val="0"/>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A7"/>
    <w:rsid w:val="000A0F02"/>
    <w:rsid w:val="000C59FC"/>
    <w:rsid w:val="000D6A74"/>
    <w:rsid w:val="00157E92"/>
    <w:rsid w:val="002A17B2"/>
    <w:rsid w:val="00471A3A"/>
    <w:rsid w:val="005A05C0"/>
    <w:rsid w:val="005D148D"/>
    <w:rsid w:val="00644B21"/>
    <w:rsid w:val="006771B0"/>
    <w:rsid w:val="00683DAA"/>
    <w:rsid w:val="00711765"/>
    <w:rsid w:val="00725DD4"/>
    <w:rsid w:val="00734307"/>
    <w:rsid w:val="007454D8"/>
    <w:rsid w:val="007E4796"/>
    <w:rsid w:val="00802824"/>
    <w:rsid w:val="008153C7"/>
    <w:rsid w:val="009A1A5E"/>
    <w:rsid w:val="009A6DAF"/>
    <w:rsid w:val="00AA0CA1"/>
    <w:rsid w:val="00AB15DB"/>
    <w:rsid w:val="00AE6A23"/>
    <w:rsid w:val="00AE7099"/>
    <w:rsid w:val="00B02431"/>
    <w:rsid w:val="00B133DF"/>
    <w:rsid w:val="00C156B3"/>
    <w:rsid w:val="00C32CDE"/>
    <w:rsid w:val="00C63810"/>
    <w:rsid w:val="00C649AF"/>
    <w:rsid w:val="00C67EED"/>
    <w:rsid w:val="00C822C8"/>
    <w:rsid w:val="00CA57BB"/>
    <w:rsid w:val="00D61C41"/>
    <w:rsid w:val="00D87C1C"/>
    <w:rsid w:val="00E636A7"/>
    <w:rsid w:val="00EE4AE1"/>
    <w:rsid w:val="00F32154"/>
    <w:rsid w:val="00F67DC0"/>
    <w:rsid w:val="00F77AAC"/>
    <w:rsid w:val="00FA0F1F"/>
    <w:rsid w:val="00FF2122"/>
    <w:rsid w:val="00FF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F2A1A"/>
  <w15:chartTrackingRefBased/>
  <w15:docId w15:val="{C505E46D-BC23-45DE-893B-F038F0AC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6A7"/>
  </w:style>
  <w:style w:type="paragraph" w:styleId="Footer">
    <w:name w:val="footer"/>
    <w:basedOn w:val="Normal"/>
    <w:link w:val="FooterChar"/>
    <w:uiPriority w:val="99"/>
    <w:unhideWhenUsed/>
    <w:rsid w:val="00E63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6A7"/>
  </w:style>
  <w:style w:type="paragraph" w:styleId="ListParagraph">
    <w:name w:val="List Paragraph"/>
    <w:basedOn w:val="Normal"/>
    <w:uiPriority w:val="34"/>
    <w:qFormat/>
    <w:rsid w:val="00157E92"/>
    <w:pPr>
      <w:ind w:left="720"/>
      <w:contextualSpacing/>
    </w:pPr>
  </w:style>
  <w:style w:type="paragraph" w:styleId="BalloonText">
    <w:name w:val="Balloon Text"/>
    <w:basedOn w:val="Normal"/>
    <w:link w:val="BalloonTextChar"/>
    <w:uiPriority w:val="99"/>
    <w:semiHidden/>
    <w:unhideWhenUsed/>
    <w:rsid w:val="00AB1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DB"/>
    <w:rPr>
      <w:rFonts w:ascii="Segoe UI" w:hAnsi="Segoe UI" w:cs="Segoe UI"/>
      <w:sz w:val="18"/>
      <w:szCs w:val="18"/>
    </w:rPr>
  </w:style>
  <w:style w:type="paragraph" w:customStyle="1" w:styleId="Level1">
    <w:name w:val="Level 1"/>
    <w:uiPriority w:val="99"/>
    <w:rsid w:val="00471A3A"/>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table" w:styleId="TableGrid">
    <w:name w:val="Table Grid"/>
    <w:basedOn w:val="TableNormal"/>
    <w:uiPriority w:val="39"/>
    <w:rsid w:val="007E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7B2"/>
    <w:rPr>
      <w:color w:val="0563C1" w:themeColor="hyperlink"/>
      <w:u w:val="single"/>
    </w:rPr>
  </w:style>
  <w:style w:type="paragraph" w:customStyle="1" w:styleId="Default">
    <w:name w:val="Default"/>
    <w:rsid w:val="000C59FC"/>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92187">
      <w:bodyDiv w:val="1"/>
      <w:marLeft w:val="0"/>
      <w:marRight w:val="0"/>
      <w:marTop w:val="0"/>
      <w:marBottom w:val="0"/>
      <w:divBdr>
        <w:top w:val="none" w:sz="0" w:space="0" w:color="auto"/>
        <w:left w:val="none" w:sz="0" w:space="0" w:color="auto"/>
        <w:bottom w:val="none" w:sz="0" w:space="0" w:color="auto"/>
        <w:right w:val="none" w:sz="0" w:space="0" w:color="auto"/>
      </w:divBdr>
    </w:div>
    <w:div w:id="16677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C1F0-587C-4F05-82A0-A0BE7615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Golas</dc:creator>
  <cp:keywords/>
  <dc:description/>
  <cp:lastModifiedBy>Recie Small</cp:lastModifiedBy>
  <cp:revision>2</cp:revision>
  <cp:lastPrinted>2017-03-15T15:13:00Z</cp:lastPrinted>
  <dcterms:created xsi:type="dcterms:W3CDTF">2018-10-05T17:19:00Z</dcterms:created>
  <dcterms:modified xsi:type="dcterms:W3CDTF">2018-10-05T17:19:00Z</dcterms:modified>
</cp:coreProperties>
</file>