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A319A" w14:textId="1BED6AD7" w:rsidR="0091530B" w:rsidRDefault="0091530B" w:rsidP="00963012">
      <w:pPr>
        <w:spacing w:after="0" w:line="240" w:lineRule="auto"/>
        <w:jc w:val="center"/>
        <w:rPr>
          <w:rFonts w:cstheme="minorHAnsi"/>
          <w:b/>
          <w:bCs/>
          <w:sz w:val="36"/>
          <w:szCs w:val="36"/>
        </w:rPr>
      </w:pPr>
      <w:r>
        <w:rPr>
          <w:rFonts w:ascii="Tahoma" w:hAnsi="Tahoma" w:cs="Tahoma"/>
          <w:noProof/>
          <w:sz w:val="28"/>
          <w:szCs w:val="28"/>
        </w:rPr>
        <w:drawing>
          <wp:inline distT="0" distB="0" distL="0" distR="0" wp14:anchorId="1C7604ED" wp14:editId="7E341CEB">
            <wp:extent cx="2209800" cy="929640"/>
            <wp:effectExtent l="0" t="0" r="0" b="3810"/>
            <wp:docPr id="2" name="Picture 2" descr="VCW_Region_Full_Color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W_Region_Full_Color_Horizont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9800" cy="929640"/>
                    </a:xfrm>
                    <a:prstGeom prst="rect">
                      <a:avLst/>
                    </a:prstGeom>
                    <a:noFill/>
                    <a:ln>
                      <a:noFill/>
                    </a:ln>
                  </pic:spPr>
                </pic:pic>
              </a:graphicData>
            </a:graphic>
          </wp:inline>
        </w:drawing>
      </w:r>
    </w:p>
    <w:p w14:paraId="0CFC8D1B" w14:textId="77777777" w:rsidR="0011044D" w:rsidRDefault="0011044D" w:rsidP="0011044D">
      <w:pPr>
        <w:spacing w:after="0" w:line="240" w:lineRule="auto"/>
        <w:jc w:val="center"/>
        <w:rPr>
          <w:rFonts w:cstheme="minorHAnsi"/>
          <w:b/>
          <w:bCs/>
          <w:sz w:val="28"/>
          <w:szCs w:val="28"/>
        </w:rPr>
      </w:pPr>
    </w:p>
    <w:p w14:paraId="60B647E1" w14:textId="477274ED" w:rsidR="0011044D" w:rsidRPr="0013116A" w:rsidRDefault="0011044D" w:rsidP="0011044D">
      <w:pPr>
        <w:spacing w:after="0" w:line="240" w:lineRule="auto"/>
        <w:jc w:val="center"/>
        <w:rPr>
          <w:rFonts w:cstheme="minorHAnsi"/>
          <w:b/>
          <w:bCs/>
          <w:sz w:val="28"/>
          <w:szCs w:val="28"/>
        </w:rPr>
      </w:pPr>
      <w:r w:rsidRPr="0013116A">
        <w:rPr>
          <w:rFonts w:cstheme="minorHAnsi"/>
          <w:b/>
          <w:bCs/>
          <w:sz w:val="28"/>
          <w:szCs w:val="28"/>
        </w:rPr>
        <w:t>Crater Regional Workforce Development Board-LWDA-15</w:t>
      </w:r>
    </w:p>
    <w:tbl>
      <w:tblPr>
        <w:tblStyle w:val="TableGrid"/>
        <w:tblW w:w="0" w:type="auto"/>
        <w:tblLook w:val="04A0" w:firstRow="1" w:lastRow="0" w:firstColumn="1" w:lastColumn="0" w:noHBand="0" w:noVBand="1"/>
      </w:tblPr>
      <w:tblGrid>
        <w:gridCol w:w="1275"/>
        <w:gridCol w:w="5361"/>
        <w:gridCol w:w="1506"/>
        <w:gridCol w:w="1208"/>
      </w:tblGrid>
      <w:tr w:rsidR="0011044D" w14:paraId="3B954B22" w14:textId="77777777" w:rsidTr="00A543A5">
        <w:trPr>
          <w:trHeight w:val="503"/>
        </w:trPr>
        <w:tc>
          <w:tcPr>
            <w:tcW w:w="1275" w:type="dxa"/>
          </w:tcPr>
          <w:p w14:paraId="4BF05FF3" w14:textId="77777777" w:rsidR="0011044D" w:rsidRPr="00811B9C" w:rsidRDefault="0011044D" w:rsidP="00A543A5">
            <w:pPr>
              <w:rPr>
                <w:rFonts w:ascii="Arial Rounded MT Bold" w:hAnsi="Arial Rounded MT Bold"/>
                <w:b/>
                <w:sz w:val="24"/>
                <w:szCs w:val="24"/>
              </w:rPr>
            </w:pPr>
            <w:r w:rsidRPr="00811B9C">
              <w:rPr>
                <w:rFonts w:ascii="Arial Rounded MT Bold" w:hAnsi="Arial Rounded MT Bold"/>
                <w:b/>
                <w:sz w:val="24"/>
                <w:szCs w:val="24"/>
              </w:rPr>
              <w:t>Title:</w:t>
            </w:r>
          </w:p>
        </w:tc>
        <w:tc>
          <w:tcPr>
            <w:tcW w:w="5361" w:type="dxa"/>
          </w:tcPr>
          <w:p w14:paraId="5F9DC59E" w14:textId="14BA3AE7" w:rsidR="0011044D" w:rsidRPr="00811B9C" w:rsidRDefault="0011044D" w:rsidP="00A543A5">
            <w:pPr>
              <w:rPr>
                <w:rFonts w:ascii="Arial Rounded MT Bold" w:hAnsi="Arial Rounded MT Bold"/>
                <w:b/>
                <w:sz w:val="24"/>
                <w:szCs w:val="24"/>
              </w:rPr>
            </w:pPr>
            <w:r>
              <w:rPr>
                <w:rFonts w:ascii="Arial Rounded MT Bold" w:hAnsi="Arial Rounded MT Bold" w:cs="Arial"/>
                <w:b/>
                <w:sz w:val="24"/>
                <w:szCs w:val="24"/>
              </w:rPr>
              <w:t>WIOA Confidentiality Policy</w:t>
            </w:r>
          </w:p>
        </w:tc>
        <w:tc>
          <w:tcPr>
            <w:tcW w:w="1506" w:type="dxa"/>
          </w:tcPr>
          <w:p w14:paraId="42B31E28" w14:textId="77777777" w:rsidR="0011044D" w:rsidRPr="00811B9C" w:rsidRDefault="0011044D" w:rsidP="00A543A5">
            <w:pPr>
              <w:rPr>
                <w:rFonts w:ascii="Arial Rounded MT Bold" w:hAnsi="Arial Rounded MT Bold"/>
                <w:b/>
              </w:rPr>
            </w:pPr>
            <w:r w:rsidRPr="00811B9C">
              <w:rPr>
                <w:rFonts w:ascii="Arial Rounded MT Bold" w:hAnsi="Arial Rounded MT Bold"/>
                <w:b/>
              </w:rPr>
              <w:t>Policy #:</w:t>
            </w:r>
          </w:p>
        </w:tc>
        <w:tc>
          <w:tcPr>
            <w:tcW w:w="1208" w:type="dxa"/>
          </w:tcPr>
          <w:p w14:paraId="6C98C39D" w14:textId="57F58CB5" w:rsidR="0011044D" w:rsidRPr="00EF75E1" w:rsidRDefault="0011044D" w:rsidP="00A543A5">
            <w:pPr>
              <w:rPr>
                <w:rFonts w:ascii="Arial Rounded MT Bold" w:hAnsi="Arial Rounded MT Bold"/>
                <w:b/>
                <w:sz w:val="24"/>
                <w:szCs w:val="24"/>
              </w:rPr>
            </w:pPr>
            <w:r>
              <w:rPr>
                <w:rFonts w:ascii="Arial Rounded MT Bold" w:hAnsi="Arial Rounded MT Bold"/>
                <w:b/>
                <w:sz w:val="24"/>
                <w:szCs w:val="24"/>
              </w:rPr>
              <w:t>2018-07</w:t>
            </w:r>
          </w:p>
        </w:tc>
      </w:tr>
      <w:tr w:rsidR="0011044D" w14:paraId="24725A56" w14:textId="77777777" w:rsidTr="00A543A5">
        <w:trPr>
          <w:trHeight w:val="530"/>
        </w:trPr>
        <w:tc>
          <w:tcPr>
            <w:tcW w:w="1275" w:type="dxa"/>
          </w:tcPr>
          <w:p w14:paraId="69701CCF" w14:textId="77777777" w:rsidR="0011044D" w:rsidRPr="00811B9C" w:rsidRDefault="0011044D" w:rsidP="00A543A5">
            <w:pPr>
              <w:rPr>
                <w:rFonts w:ascii="Arial Rounded MT Bold" w:hAnsi="Arial Rounded MT Bold"/>
                <w:b/>
                <w:sz w:val="24"/>
              </w:rPr>
            </w:pPr>
            <w:r w:rsidRPr="00811B9C">
              <w:rPr>
                <w:rFonts w:ascii="Arial Rounded MT Bold" w:hAnsi="Arial Rounded MT Bold"/>
                <w:b/>
                <w:sz w:val="24"/>
              </w:rPr>
              <w:t>Effective Date:</w:t>
            </w:r>
          </w:p>
        </w:tc>
        <w:tc>
          <w:tcPr>
            <w:tcW w:w="5361" w:type="dxa"/>
          </w:tcPr>
          <w:p w14:paraId="0D0E19A7" w14:textId="13D7DA04" w:rsidR="0011044D" w:rsidRPr="003F31C7" w:rsidRDefault="0011044D" w:rsidP="00A543A5">
            <w:pPr>
              <w:rPr>
                <w:rFonts w:ascii="Arial Rounded MT Bold" w:hAnsi="Arial Rounded MT Bold"/>
                <w:b/>
                <w:sz w:val="24"/>
                <w:szCs w:val="24"/>
              </w:rPr>
            </w:pPr>
            <w:r>
              <w:rPr>
                <w:rFonts w:ascii="Arial Rounded MT Bold" w:hAnsi="Arial Rounded MT Bold"/>
                <w:b/>
                <w:sz w:val="24"/>
                <w:szCs w:val="24"/>
              </w:rPr>
              <w:t>10/19/18</w:t>
            </w:r>
          </w:p>
        </w:tc>
        <w:tc>
          <w:tcPr>
            <w:tcW w:w="1506" w:type="dxa"/>
          </w:tcPr>
          <w:p w14:paraId="70FAD715" w14:textId="77777777" w:rsidR="0011044D" w:rsidRPr="00811B9C" w:rsidRDefault="0011044D" w:rsidP="00A543A5">
            <w:pPr>
              <w:rPr>
                <w:rFonts w:ascii="Arial Rounded MT Bold" w:hAnsi="Arial Rounded MT Bold"/>
                <w:b/>
                <w:sz w:val="24"/>
              </w:rPr>
            </w:pPr>
            <w:r w:rsidRPr="00811B9C">
              <w:rPr>
                <w:rFonts w:ascii="Arial Rounded MT Bold" w:hAnsi="Arial Rounded MT Bold"/>
                <w:b/>
                <w:sz w:val="24"/>
              </w:rPr>
              <w:t>Revision Date:</w:t>
            </w:r>
          </w:p>
        </w:tc>
        <w:tc>
          <w:tcPr>
            <w:tcW w:w="1208" w:type="dxa"/>
          </w:tcPr>
          <w:p w14:paraId="621A4267" w14:textId="6CCB2085" w:rsidR="0011044D" w:rsidRPr="009E17CD" w:rsidRDefault="0011044D" w:rsidP="00A543A5">
            <w:pPr>
              <w:rPr>
                <w:rFonts w:ascii="Arial Rounded MT Bold" w:hAnsi="Arial Rounded MT Bold"/>
                <w:b/>
                <w:sz w:val="24"/>
                <w:szCs w:val="24"/>
              </w:rPr>
            </w:pPr>
            <w:r>
              <w:rPr>
                <w:rFonts w:ascii="Arial Rounded MT Bold" w:hAnsi="Arial Rounded MT Bold"/>
                <w:b/>
                <w:sz w:val="24"/>
                <w:szCs w:val="24"/>
              </w:rPr>
              <w:t>10/15/20</w:t>
            </w:r>
          </w:p>
        </w:tc>
      </w:tr>
    </w:tbl>
    <w:p w14:paraId="189856DE" w14:textId="5C3BE3BB" w:rsidR="00ED7F0F" w:rsidRPr="0011044D" w:rsidRDefault="00E636A7" w:rsidP="00DF251C">
      <w:pPr>
        <w:spacing w:before="100" w:beforeAutospacing="1" w:after="100" w:afterAutospacing="1" w:line="240" w:lineRule="auto"/>
        <w:rPr>
          <w:rFonts w:cstheme="minorHAnsi"/>
          <w:b/>
          <w:bCs/>
          <w:sz w:val="24"/>
          <w:szCs w:val="24"/>
        </w:rPr>
      </w:pPr>
      <w:r w:rsidRPr="00963012">
        <w:rPr>
          <w:rFonts w:cstheme="minorHAnsi"/>
          <w:b/>
          <w:bCs/>
          <w:sz w:val="24"/>
          <w:szCs w:val="24"/>
        </w:rPr>
        <w:t>Purpose</w:t>
      </w:r>
      <w:r w:rsidR="0011044D">
        <w:rPr>
          <w:rFonts w:cstheme="minorHAnsi"/>
          <w:b/>
          <w:bCs/>
          <w:sz w:val="24"/>
          <w:szCs w:val="24"/>
        </w:rPr>
        <w:t xml:space="preserve"> - </w:t>
      </w:r>
      <w:r w:rsidR="00ED7F0F" w:rsidRPr="00963012">
        <w:rPr>
          <w:rFonts w:cstheme="minorHAnsi"/>
          <w:bCs/>
          <w:sz w:val="24"/>
          <w:szCs w:val="24"/>
        </w:rPr>
        <w:t xml:space="preserve">This policy is to define and communicate the </w:t>
      </w:r>
      <w:r w:rsidR="00963012" w:rsidRPr="00963012">
        <w:rPr>
          <w:rFonts w:cstheme="minorHAnsi"/>
          <w:bCs/>
          <w:sz w:val="24"/>
          <w:szCs w:val="24"/>
        </w:rPr>
        <w:t>Crater Regional Workforce</w:t>
      </w:r>
      <w:r w:rsidR="00ED7F0F" w:rsidRPr="00963012">
        <w:rPr>
          <w:rFonts w:cstheme="minorHAnsi"/>
          <w:bCs/>
          <w:sz w:val="24"/>
          <w:szCs w:val="24"/>
        </w:rPr>
        <w:t xml:space="preserve"> Development Board’s (</w:t>
      </w:r>
      <w:r w:rsidR="00963012" w:rsidRPr="00963012">
        <w:rPr>
          <w:rFonts w:cstheme="minorHAnsi"/>
          <w:bCs/>
          <w:sz w:val="24"/>
          <w:szCs w:val="24"/>
        </w:rPr>
        <w:t>CR</w:t>
      </w:r>
      <w:r w:rsidR="00ED7F0F" w:rsidRPr="00963012">
        <w:rPr>
          <w:rFonts w:cstheme="minorHAnsi"/>
          <w:bCs/>
          <w:sz w:val="24"/>
          <w:szCs w:val="24"/>
        </w:rPr>
        <w:t>WDB) commitment to protecting the confidentiality of Workforce Innovation &amp; Opportunity Act (WIOA) participants.</w:t>
      </w:r>
    </w:p>
    <w:p w14:paraId="4C989A40" w14:textId="7C48A83A" w:rsidR="008F2234" w:rsidRPr="00AF5E63" w:rsidRDefault="008F2234" w:rsidP="00AF5E63">
      <w:pPr>
        <w:spacing w:before="100" w:beforeAutospacing="1" w:after="100" w:afterAutospacing="1" w:line="240" w:lineRule="auto"/>
        <w:rPr>
          <w:rFonts w:cstheme="minorHAnsi"/>
          <w:b/>
          <w:sz w:val="24"/>
          <w:szCs w:val="24"/>
        </w:rPr>
      </w:pPr>
      <w:r w:rsidRPr="00AF5E63">
        <w:rPr>
          <w:rFonts w:cstheme="minorHAnsi"/>
          <w:b/>
          <w:sz w:val="24"/>
          <w:szCs w:val="24"/>
        </w:rPr>
        <w:t>References</w:t>
      </w:r>
    </w:p>
    <w:p w14:paraId="02041737" w14:textId="53B9C0C9" w:rsidR="008F2234" w:rsidRPr="001134C9" w:rsidRDefault="008F2234" w:rsidP="0011044D">
      <w:pPr>
        <w:pStyle w:val="ListParagraph"/>
        <w:numPr>
          <w:ilvl w:val="0"/>
          <w:numId w:val="16"/>
        </w:numPr>
        <w:spacing w:after="0" w:line="240" w:lineRule="auto"/>
        <w:rPr>
          <w:rFonts w:cstheme="minorHAnsi"/>
          <w:b/>
          <w:bCs/>
          <w:sz w:val="24"/>
          <w:szCs w:val="24"/>
        </w:rPr>
      </w:pPr>
      <w:r w:rsidRPr="001134C9">
        <w:rPr>
          <w:rFonts w:cstheme="minorHAnsi"/>
          <w:b/>
          <w:bCs/>
          <w:sz w:val="24"/>
          <w:szCs w:val="24"/>
        </w:rPr>
        <w:t>USDOL Training and Employment Guidance Letter 39-</w:t>
      </w:r>
      <w:r w:rsidR="006C7DAE" w:rsidRPr="001134C9">
        <w:rPr>
          <w:rFonts w:cstheme="minorHAnsi"/>
          <w:b/>
          <w:bCs/>
          <w:sz w:val="24"/>
          <w:szCs w:val="24"/>
        </w:rPr>
        <w:t>11</w:t>
      </w:r>
    </w:p>
    <w:p w14:paraId="391A81FF" w14:textId="3F351572" w:rsidR="008F2234" w:rsidRPr="001134C9" w:rsidRDefault="008F2234" w:rsidP="0011044D">
      <w:pPr>
        <w:pStyle w:val="ListParagraph"/>
        <w:numPr>
          <w:ilvl w:val="0"/>
          <w:numId w:val="16"/>
        </w:numPr>
        <w:spacing w:after="0" w:line="240" w:lineRule="auto"/>
        <w:rPr>
          <w:rFonts w:cstheme="minorHAnsi"/>
          <w:b/>
          <w:bCs/>
          <w:sz w:val="24"/>
          <w:szCs w:val="24"/>
        </w:rPr>
      </w:pPr>
      <w:r w:rsidRPr="001134C9">
        <w:rPr>
          <w:rFonts w:cstheme="minorHAnsi"/>
          <w:b/>
          <w:bCs/>
          <w:sz w:val="24"/>
          <w:szCs w:val="24"/>
        </w:rPr>
        <w:t xml:space="preserve">Virginia Workforce Letter # </w:t>
      </w:r>
      <w:r w:rsidR="00BA4A55" w:rsidRPr="001134C9">
        <w:rPr>
          <w:rFonts w:cstheme="minorHAnsi"/>
          <w:b/>
          <w:bCs/>
          <w:sz w:val="24"/>
          <w:szCs w:val="24"/>
        </w:rPr>
        <w:t>19-05</w:t>
      </w:r>
    </w:p>
    <w:p w14:paraId="71FB3FA4" w14:textId="2C643E20" w:rsidR="008F2234" w:rsidRPr="001134C9" w:rsidRDefault="008A6F8C" w:rsidP="0011044D">
      <w:pPr>
        <w:pStyle w:val="ListParagraph"/>
        <w:numPr>
          <w:ilvl w:val="0"/>
          <w:numId w:val="16"/>
        </w:numPr>
        <w:spacing w:after="0" w:line="240" w:lineRule="auto"/>
        <w:rPr>
          <w:rFonts w:cstheme="minorHAnsi"/>
          <w:b/>
          <w:bCs/>
          <w:sz w:val="24"/>
          <w:szCs w:val="24"/>
        </w:rPr>
      </w:pPr>
      <w:r w:rsidRPr="001134C9">
        <w:rPr>
          <w:rFonts w:cstheme="minorHAnsi"/>
          <w:b/>
          <w:bCs/>
          <w:sz w:val="24"/>
          <w:szCs w:val="24"/>
        </w:rPr>
        <w:t>29 CFR 97.42</w:t>
      </w:r>
    </w:p>
    <w:p w14:paraId="27493AEC" w14:textId="77777777" w:rsidR="00DF251C" w:rsidRPr="00963012" w:rsidRDefault="00DF251C" w:rsidP="00DF251C">
      <w:pPr>
        <w:spacing w:before="100" w:beforeAutospacing="1" w:after="100" w:afterAutospacing="1" w:line="240" w:lineRule="auto"/>
        <w:rPr>
          <w:rFonts w:cstheme="minorHAnsi"/>
          <w:b/>
          <w:bCs/>
          <w:sz w:val="24"/>
          <w:szCs w:val="24"/>
        </w:rPr>
      </w:pPr>
      <w:r w:rsidRPr="00963012">
        <w:rPr>
          <w:rFonts w:cstheme="minorHAnsi"/>
          <w:b/>
          <w:bCs/>
          <w:sz w:val="24"/>
          <w:szCs w:val="24"/>
        </w:rPr>
        <w:t>Policy Statement</w:t>
      </w:r>
    </w:p>
    <w:p w14:paraId="69AAE9EA" w14:textId="7300C281" w:rsidR="008F2234" w:rsidRPr="00163A32" w:rsidRDefault="00000C0C" w:rsidP="00000C0C">
      <w:pPr>
        <w:spacing w:before="100" w:beforeAutospacing="1" w:after="100" w:afterAutospacing="1" w:line="240" w:lineRule="auto"/>
      </w:pPr>
      <w:r w:rsidRPr="00163A32">
        <w:rPr>
          <w:rFonts w:cstheme="minorHAnsi"/>
          <w:bCs/>
        </w:rPr>
        <w:t>In this policy</w:t>
      </w:r>
      <w:r w:rsidR="00ED7F0F" w:rsidRPr="00163A32">
        <w:rPr>
          <w:rFonts w:cstheme="minorHAnsi"/>
          <w:bCs/>
        </w:rPr>
        <w:t xml:space="preserve"> the </w:t>
      </w:r>
      <w:r w:rsidRPr="00163A32">
        <w:rPr>
          <w:rFonts w:cstheme="minorHAnsi"/>
          <w:bCs/>
        </w:rPr>
        <w:t xml:space="preserve">CRWDB is committed to ensuring that its WIOA Title I service providers protect the Personally Identifiable Information (PII) and other confidential information as may be obtained and recorded in the course of determining WIOA eligibility and in providing services, to include follow up. Likewise, minimum record retention requirements are established as part of an effective internal and external control program to ensure that WIOA-produced documents can be provided if and when requested by any federal and state agencies within the statutes of limitations. </w:t>
      </w:r>
    </w:p>
    <w:p w14:paraId="2AA263F6" w14:textId="0BDEB273" w:rsidR="008F2234" w:rsidRPr="008B3C55" w:rsidRDefault="00762089" w:rsidP="00ED7F0F">
      <w:pPr>
        <w:spacing w:before="100" w:beforeAutospacing="1" w:after="100" w:afterAutospacing="1" w:line="240" w:lineRule="auto"/>
        <w:rPr>
          <w:rFonts w:cstheme="minorHAnsi"/>
          <w:b/>
          <w:sz w:val="24"/>
          <w:szCs w:val="24"/>
        </w:rPr>
      </w:pPr>
      <w:r w:rsidRPr="008B3C55">
        <w:rPr>
          <w:rFonts w:cstheme="minorHAnsi"/>
          <w:b/>
          <w:sz w:val="24"/>
          <w:szCs w:val="24"/>
        </w:rPr>
        <w:t>Definition:</w:t>
      </w:r>
    </w:p>
    <w:p w14:paraId="7970A16B" w14:textId="147037D5" w:rsidR="00762089" w:rsidRDefault="00762089" w:rsidP="00ED7F0F">
      <w:pPr>
        <w:spacing w:before="100" w:beforeAutospacing="1" w:after="100" w:afterAutospacing="1" w:line="240" w:lineRule="auto"/>
      </w:pPr>
      <w:r w:rsidRPr="00762089">
        <w:rPr>
          <w:b/>
          <w:bCs/>
        </w:rPr>
        <w:t>Protected PII</w:t>
      </w:r>
      <w:r>
        <w:t xml:space="preserve"> is defined by the US Department of Labor as that which if disclosed could result in harm to</w:t>
      </w:r>
      <w:r w:rsidR="008B3C55">
        <w:t xml:space="preserve"> </w:t>
      </w:r>
      <w:r>
        <w:t>the individual whose name or identity is linked to that information. Examples include social security numbers, credit</w:t>
      </w:r>
      <w:r w:rsidR="008B3C55">
        <w:t xml:space="preserve"> </w:t>
      </w:r>
      <w:r>
        <w:t>card numbers, bank account numbers, home telephone numbers, ages, birthdate, marital status, spouse names, educational history, biometric identifiers (fingerprints, voiceprints, iris scans etc.), medical information, financial information and computer passwords.</w:t>
      </w:r>
    </w:p>
    <w:p w14:paraId="2A4E5CC9" w14:textId="0AD379BC" w:rsidR="00AF5E63" w:rsidRPr="00AF5E63" w:rsidRDefault="00AF5E63" w:rsidP="0011044D">
      <w:pPr>
        <w:spacing w:before="100" w:beforeAutospacing="1" w:after="100" w:afterAutospacing="1" w:line="240" w:lineRule="auto"/>
        <w:rPr>
          <w:b/>
          <w:bCs/>
        </w:rPr>
      </w:pPr>
      <w:r w:rsidRPr="00AF5E63">
        <w:rPr>
          <w:b/>
          <w:bCs/>
        </w:rPr>
        <w:t>Part 1-</w:t>
      </w:r>
      <w:r w:rsidRPr="00AF5E63">
        <w:rPr>
          <w:rFonts w:ascii="Calibri" w:eastAsia="Calibri" w:hAnsi="Calibri" w:cs="Calibri"/>
          <w:b/>
          <w:bCs/>
        </w:rPr>
        <w:t xml:space="preserve"> </w:t>
      </w:r>
      <w:r w:rsidRPr="00AF5E63">
        <w:rPr>
          <w:b/>
          <w:bCs/>
        </w:rPr>
        <w:t>Confidentiality and Protection of Personally Identifiable Information (PII)</w:t>
      </w:r>
    </w:p>
    <w:p w14:paraId="4DCAA64C" w14:textId="77777777" w:rsidR="00B83A44" w:rsidRDefault="00B83A44" w:rsidP="00762089">
      <w:pPr>
        <w:pStyle w:val="BodyText"/>
        <w:ind w:left="200"/>
      </w:pPr>
    </w:p>
    <w:p w14:paraId="76D831A0" w14:textId="6CEA2F41" w:rsidR="00762089" w:rsidRDefault="00762089" w:rsidP="00762089">
      <w:pPr>
        <w:pStyle w:val="BodyText"/>
        <w:ind w:left="200"/>
      </w:pPr>
      <w:r>
        <w:t xml:space="preserve">The following steps will be taken by any service provider working on behalf of the </w:t>
      </w:r>
      <w:r w:rsidR="00B83A44">
        <w:t>CRWDB</w:t>
      </w:r>
    </w:p>
    <w:p w14:paraId="5EF4B26C" w14:textId="77777777" w:rsidR="00762089" w:rsidRDefault="00762089" w:rsidP="00762089">
      <w:pPr>
        <w:pStyle w:val="BodyText"/>
        <w:spacing w:before="10"/>
        <w:rPr>
          <w:sz w:val="30"/>
        </w:rPr>
      </w:pPr>
    </w:p>
    <w:p w14:paraId="6C6DB744" w14:textId="77777777" w:rsidR="00762089" w:rsidRDefault="00762089" w:rsidP="00762089">
      <w:pPr>
        <w:pStyle w:val="ListParagraph"/>
        <w:widowControl w:val="0"/>
        <w:numPr>
          <w:ilvl w:val="0"/>
          <w:numId w:val="11"/>
        </w:numPr>
        <w:tabs>
          <w:tab w:val="left" w:pos="921"/>
        </w:tabs>
        <w:autoSpaceDE w:val="0"/>
        <w:autoSpaceDN w:val="0"/>
        <w:spacing w:after="0" w:line="240" w:lineRule="auto"/>
        <w:contextualSpacing w:val="0"/>
      </w:pPr>
      <w:r>
        <w:rPr>
          <w:u w:val="single"/>
        </w:rPr>
        <w:t>Prior to collection of PII or sensitive personal</w:t>
      </w:r>
      <w:r>
        <w:rPr>
          <w:spacing w:val="-24"/>
          <w:u w:val="single"/>
        </w:rPr>
        <w:t xml:space="preserve"> </w:t>
      </w:r>
      <w:r>
        <w:rPr>
          <w:u w:val="single"/>
        </w:rPr>
        <w:t>information:</w:t>
      </w:r>
    </w:p>
    <w:p w14:paraId="0EBF57D2" w14:textId="77777777" w:rsidR="00762089" w:rsidRDefault="00762089" w:rsidP="00762089">
      <w:pPr>
        <w:pStyle w:val="ListParagraph"/>
        <w:widowControl w:val="0"/>
        <w:numPr>
          <w:ilvl w:val="1"/>
          <w:numId w:val="11"/>
        </w:numPr>
        <w:tabs>
          <w:tab w:val="left" w:pos="1641"/>
        </w:tabs>
        <w:autoSpaceDE w:val="0"/>
        <w:autoSpaceDN w:val="0"/>
        <w:spacing w:before="39" w:after="0" w:line="288" w:lineRule="auto"/>
        <w:ind w:right="541"/>
        <w:contextualSpacing w:val="0"/>
        <w:jc w:val="both"/>
      </w:pPr>
      <w:r>
        <w:lastRenderedPageBreak/>
        <w:t>Individuals shall be notified that such information will only be used for purposes of service under the WIOA-funded grant program and its attendant regulations; and as part of the WIOA program application sign a release acknowledging</w:t>
      </w:r>
      <w:r>
        <w:rPr>
          <w:spacing w:val="-6"/>
        </w:rPr>
        <w:t xml:space="preserve"> </w:t>
      </w:r>
      <w:r>
        <w:t>such.</w:t>
      </w:r>
    </w:p>
    <w:p w14:paraId="5D98DE11" w14:textId="77777777" w:rsidR="00762089" w:rsidRDefault="00762089" w:rsidP="00762089">
      <w:pPr>
        <w:pStyle w:val="ListParagraph"/>
        <w:widowControl w:val="0"/>
        <w:numPr>
          <w:ilvl w:val="1"/>
          <w:numId w:val="11"/>
        </w:numPr>
        <w:tabs>
          <w:tab w:val="left" w:pos="1581"/>
        </w:tabs>
        <w:autoSpaceDE w:val="0"/>
        <w:autoSpaceDN w:val="0"/>
        <w:spacing w:before="56" w:after="0" w:line="288" w:lineRule="auto"/>
        <w:ind w:left="1580" w:right="391"/>
        <w:contextualSpacing w:val="0"/>
      </w:pPr>
      <w:r>
        <w:t>Individuals shall also be notified that with written consent, such information may be shared with other Virginia</w:t>
      </w:r>
      <w:r>
        <w:rPr>
          <w:spacing w:val="-2"/>
        </w:rPr>
        <w:t xml:space="preserve"> </w:t>
      </w:r>
      <w:r>
        <w:t>Workforce Network partner</w:t>
      </w:r>
      <w:r>
        <w:rPr>
          <w:spacing w:val="-3"/>
        </w:rPr>
        <w:t xml:space="preserve"> </w:t>
      </w:r>
      <w:r>
        <w:t>organizations</w:t>
      </w:r>
      <w:r>
        <w:rPr>
          <w:spacing w:val="-1"/>
        </w:rPr>
        <w:t xml:space="preserve"> </w:t>
      </w:r>
      <w:r>
        <w:t>for</w:t>
      </w:r>
      <w:r>
        <w:rPr>
          <w:spacing w:val="-3"/>
        </w:rPr>
        <w:t xml:space="preserve"> </w:t>
      </w:r>
      <w:r>
        <w:t>purposes</w:t>
      </w:r>
      <w:r>
        <w:rPr>
          <w:spacing w:val="-3"/>
        </w:rPr>
        <w:t xml:space="preserve"> </w:t>
      </w:r>
      <w:r>
        <w:t>of</w:t>
      </w:r>
      <w:r>
        <w:rPr>
          <w:spacing w:val="-1"/>
        </w:rPr>
        <w:t xml:space="preserve"> </w:t>
      </w:r>
      <w:r>
        <w:t>referral</w:t>
      </w:r>
      <w:r>
        <w:rPr>
          <w:spacing w:val="-1"/>
        </w:rPr>
        <w:t xml:space="preserve"> </w:t>
      </w:r>
      <w:r>
        <w:t>and</w:t>
      </w:r>
      <w:r>
        <w:rPr>
          <w:spacing w:val="-3"/>
        </w:rPr>
        <w:t xml:space="preserve"> </w:t>
      </w:r>
      <w:r>
        <w:t>potential</w:t>
      </w:r>
      <w:r>
        <w:rPr>
          <w:spacing w:val="-1"/>
        </w:rPr>
        <w:t xml:space="preserve"> </w:t>
      </w:r>
      <w:r>
        <w:t>coordination</w:t>
      </w:r>
      <w:r>
        <w:rPr>
          <w:spacing w:val="-25"/>
        </w:rPr>
        <w:t xml:space="preserve"> </w:t>
      </w:r>
      <w:r>
        <w:t>of services beyond</w:t>
      </w:r>
      <w:r>
        <w:rPr>
          <w:spacing w:val="-3"/>
        </w:rPr>
        <w:t xml:space="preserve"> </w:t>
      </w:r>
      <w:r>
        <w:t>WIOA.</w:t>
      </w:r>
    </w:p>
    <w:p w14:paraId="4C8C16A7" w14:textId="1897524F" w:rsidR="00762089" w:rsidRDefault="00762089" w:rsidP="00762089">
      <w:pPr>
        <w:pStyle w:val="ListParagraph"/>
        <w:widowControl w:val="0"/>
        <w:numPr>
          <w:ilvl w:val="1"/>
          <w:numId w:val="11"/>
        </w:numPr>
        <w:tabs>
          <w:tab w:val="left" w:pos="1580"/>
          <w:tab w:val="left" w:pos="1581"/>
        </w:tabs>
        <w:autoSpaceDE w:val="0"/>
        <w:autoSpaceDN w:val="0"/>
        <w:spacing w:after="0" w:line="288" w:lineRule="auto"/>
        <w:ind w:left="1580" w:right="212"/>
        <w:contextualSpacing w:val="0"/>
      </w:pPr>
      <w:r>
        <w:t xml:space="preserve">The individual may agree in writing to release all or portions of their information and be provided the opportunity to indicate what information may and may not be shared. The individual may also </w:t>
      </w:r>
      <w:r>
        <w:rPr>
          <w:spacing w:val="2"/>
        </w:rPr>
        <w:t>indicate</w:t>
      </w:r>
      <w:r w:rsidR="0082658D">
        <w:rPr>
          <w:spacing w:val="2"/>
        </w:rPr>
        <w:t xml:space="preserve"> </w:t>
      </w:r>
      <w:r>
        <w:rPr>
          <w:spacing w:val="2"/>
        </w:rPr>
        <w:t xml:space="preserve">if </w:t>
      </w:r>
      <w:r>
        <w:t>there are specific organization(s) to which their information may not be shared. The consent may be modified or revoked by the individual at any time by providing written notice. Customer initials should be obtained to document customer designations and subsequent</w:t>
      </w:r>
      <w:r>
        <w:rPr>
          <w:spacing w:val="-13"/>
        </w:rPr>
        <w:t xml:space="preserve"> </w:t>
      </w:r>
      <w:r>
        <w:t>changes.</w:t>
      </w:r>
    </w:p>
    <w:p w14:paraId="354DF4C3" w14:textId="003D5EF8" w:rsidR="00762089" w:rsidRDefault="00762089" w:rsidP="00762089">
      <w:pPr>
        <w:pStyle w:val="ListParagraph"/>
        <w:widowControl w:val="0"/>
        <w:numPr>
          <w:ilvl w:val="1"/>
          <w:numId w:val="11"/>
        </w:numPr>
        <w:tabs>
          <w:tab w:val="left" w:pos="1581"/>
        </w:tabs>
        <w:autoSpaceDE w:val="0"/>
        <w:autoSpaceDN w:val="0"/>
        <w:spacing w:after="0" w:line="292" w:lineRule="auto"/>
        <w:ind w:left="1580" w:right="637"/>
        <w:contextualSpacing w:val="0"/>
      </w:pPr>
      <w:r>
        <w:t xml:space="preserve">Unless modified or revoked by the individual, written consents shall remain in effect 4 years </w:t>
      </w:r>
      <w:r>
        <w:rPr>
          <w:spacing w:val="2"/>
        </w:rPr>
        <w:t>from</w:t>
      </w:r>
      <w:r w:rsidR="0082658D">
        <w:rPr>
          <w:spacing w:val="2"/>
        </w:rPr>
        <w:t xml:space="preserve"> </w:t>
      </w:r>
      <w:r>
        <w:rPr>
          <w:spacing w:val="2"/>
        </w:rPr>
        <w:t xml:space="preserve">the </w:t>
      </w:r>
      <w:r>
        <w:t>date of last</w:t>
      </w:r>
      <w:r>
        <w:rPr>
          <w:spacing w:val="-8"/>
        </w:rPr>
        <w:t xml:space="preserve"> </w:t>
      </w:r>
      <w:r>
        <w:t>signature.</w:t>
      </w:r>
    </w:p>
    <w:p w14:paraId="0AB3AC7E" w14:textId="77777777" w:rsidR="00762089" w:rsidRDefault="00762089" w:rsidP="00762089">
      <w:pPr>
        <w:pStyle w:val="ListParagraph"/>
        <w:widowControl w:val="0"/>
        <w:numPr>
          <w:ilvl w:val="1"/>
          <w:numId w:val="11"/>
        </w:numPr>
        <w:tabs>
          <w:tab w:val="left" w:pos="1581"/>
        </w:tabs>
        <w:autoSpaceDE w:val="0"/>
        <w:autoSpaceDN w:val="0"/>
        <w:spacing w:after="0" w:line="288" w:lineRule="auto"/>
        <w:ind w:left="1580" w:right="285"/>
        <w:contextualSpacing w:val="0"/>
      </w:pPr>
      <w:r>
        <w:t>WIOA-paid staff and unpaid volunteers and other personnel who will have access to sensitive/confidential/proprietary/private data must be advised by the service provider management of the confidential nature of information, the safeguards required to protect the information as described in Section 2 of this policy below and the safeguards in handling such information. Written acknowledgements</w:t>
      </w:r>
      <w:r>
        <w:rPr>
          <w:spacing w:val="-4"/>
        </w:rPr>
        <w:t xml:space="preserve"> </w:t>
      </w:r>
      <w:r>
        <w:t>from</w:t>
      </w:r>
      <w:r>
        <w:rPr>
          <w:spacing w:val="-2"/>
        </w:rPr>
        <w:t xml:space="preserve"> </w:t>
      </w:r>
      <w:r>
        <w:t>staff</w:t>
      </w:r>
      <w:r>
        <w:rPr>
          <w:spacing w:val="-2"/>
        </w:rPr>
        <w:t xml:space="preserve"> </w:t>
      </w:r>
      <w:r>
        <w:t>and</w:t>
      </w:r>
      <w:r>
        <w:rPr>
          <w:spacing w:val="-2"/>
        </w:rPr>
        <w:t xml:space="preserve"> </w:t>
      </w:r>
      <w:r>
        <w:t>other</w:t>
      </w:r>
      <w:r>
        <w:rPr>
          <w:spacing w:val="-1"/>
        </w:rPr>
        <w:t xml:space="preserve"> </w:t>
      </w:r>
      <w:r>
        <w:t>partner</w:t>
      </w:r>
      <w:r>
        <w:rPr>
          <w:spacing w:val="-4"/>
        </w:rPr>
        <w:t xml:space="preserve"> </w:t>
      </w:r>
      <w:r>
        <w:t>personnel</w:t>
      </w:r>
      <w:r>
        <w:rPr>
          <w:spacing w:val="-1"/>
        </w:rPr>
        <w:t xml:space="preserve"> </w:t>
      </w:r>
      <w:r>
        <w:t>shall</w:t>
      </w:r>
      <w:r>
        <w:rPr>
          <w:spacing w:val="-2"/>
        </w:rPr>
        <w:t xml:space="preserve"> </w:t>
      </w:r>
      <w:r>
        <w:t>be</w:t>
      </w:r>
      <w:r>
        <w:rPr>
          <w:spacing w:val="-2"/>
        </w:rPr>
        <w:t xml:space="preserve"> </w:t>
      </w:r>
      <w:r>
        <w:t>kept</w:t>
      </w:r>
      <w:r>
        <w:rPr>
          <w:spacing w:val="-1"/>
        </w:rPr>
        <w:t xml:space="preserve"> </w:t>
      </w:r>
      <w:r>
        <w:t>by</w:t>
      </w:r>
      <w:r>
        <w:rPr>
          <w:spacing w:val="-1"/>
        </w:rPr>
        <w:t xml:space="preserve"> </w:t>
      </w:r>
      <w:r>
        <w:t>the</w:t>
      </w:r>
      <w:r>
        <w:rPr>
          <w:spacing w:val="-4"/>
        </w:rPr>
        <w:t xml:space="preserve"> </w:t>
      </w:r>
      <w:r>
        <w:t>WIOA</w:t>
      </w:r>
      <w:r>
        <w:rPr>
          <w:spacing w:val="-1"/>
        </w:rPr>
        <w:t xml:space="preserve"> </w:t>
      </w:r>
      <w:r>
        <w:t>service</w:t>
      </w:r>
      <w:r>
        <w:rPr>
          <w:spacing w:val="-27"/>
        </w:rPr>
        <w:t xml:space="preserve"> </w:t>
      </w:r>
      <w:r>
        <w:t>provider(s).</w:t>
      </w:r>
    </w:p>
    <w:p w14:paraId="29ED1479" w14:textId="77777777" w:rsidR="00762089" w:rsidRDefault="00762089" w:rsidP="00762089">
      <w:pPr>
        <w:pStyle w:val="BodyText"/>
        <w:spacing w:before="8"/>
        <w:rPr>
          <w:sz w:val="25"/>
        </w:rPr>
      </w:pPr>
    </w:p>
    <w:p w14:paraId="0737305D" w14:textId="77777777" w:rsidR="00762089" w:rsidRDefault="00762089" w:rsidP="00762089">
      <w:pPr>
        <w:pStyle w:val="ListParagraph"/>
        <w:widowControl w:val="0"/>
        <w:numPr>
          <w:ilvl w:val="0"/>
          <w:numId w:val="11"/>
        </w:numPr>
        <w:tabs>
          <w:tab w:val="left" w:pos="861"/>
        </w:tabs>
        <w:autoSpaceDE w:val="0"/>
        <w:autoSpaceDN w:val="0"/>
        <w:spacing w:after="0" w:line="240" w:lineRule="auto"/>
        <w:ind w:left="860"/>
        <w:contextualSpacing w:val="0"/>
      </w:pPr>
      <w:r>
        <w:rPr>
          <w:u w:val="single"/>
        </w:rPr>
        <w:t>Safeguarding of PII and sensitive information once</w:t>
      </w:r>
      <w:r>
        <w:rPr>
          <w:spacing w:val="-25"/>
          <w:u w:val="single"/>
        </w:rPr>
        <w:t xml:space="preserve"> </w:t>
      </w:r>
      <w:r>
        <w:rPr>
          <w:u w:val="single"/>
        </w:rPr>
        <w:t>obtained:</w:t>
      </w:r>
    </w:p>
    <w:p w14:paraId="6B47216C" w14:textId="3317ABE2" w:rsidR="00762089" w:rsidRDefault="00762089" w:rsidP="008F71EC">
      <w:pPr>
        <w:pStyle w:val="ListParagraph"/>
        <w:widowControl w:val="0"/>
        <w:numPr>
          <w:ilvl w:val="1"/>
          <w:numId w:val="11"/>
        </w:numPr>
        <w:tabs>
          <w:tab w:val="left" w:pos="2056"/>
        </w:tabs>
        <w:autoSpaceDE w:val="0"/>
        <w:autoSpaceDN w:val="0"/>
        <w:spacing w:before="58" w:after="0" w:line="288" w:lineRule="auto"/>
        <w:ind w:right="267"/>
      </w:pPr>
      <w:r>
        <w:t>PII</w:t>
      </w:r>
      <w:r w:rsidRPr="008F71EC">
        <w:rPr>
          <w:spacing w:val="-2"/>
        </w:rPr>
        <w:t xml:space="preserve"> </w:t>
      </w:r>
      <w:r>
        <w:t>of</w:t>
      </w:r>
      <w:r w:rsidRPr="008F71EC">
        <w:rPr>
          <w:spacing w:val="-4"/>
        </w:rPr>
        <w:t xml:space="preserve"> </w:t>
      </w:r>
      <w:r>
        <w:t>WIOA</w:t>
      </w:r>
      <w:r w:rsidRPr="008F71EC">
        <w:rPr>
          <w:spacing w:val="-4"/>
        </w:rPr>
        <w:t xml:space="preserve"> </w:t>
      </w:r>
      <w:r>
        <w:t>participants</w:t>
      </w:r>
      <w:r w:rsidRPr="008F71EC">
        <w:rPr>
          <w:spacing w:val="-3"/>
        </w:rPr>
        <w:t xml:space="preserve"> </w:t>
      </w:r>
      <w:r>
        <w:t>shall</w:t>
      </w:r>
      <w:r w:rsidRPr="008F71EC">
        <w:rPr>
          <w:spacing w:val="-2"/>
        </w:rPr>
        <w:t xml:space="preserve"> </w:t>
      </w:r>
      <w:r>
        <w:t>not</w:t>
      </w:r>
      <w:r w:rsidRPr="008F71EC">
        <w:rPr>
          <w:spacing w:val="-1"/>
        </w:rPr>
        <w:t xml:space="preserve"> </w:t>
      </w:r>
      <w:r>
        <w:t>be transmitted</w:t>
      </w:r>
      <w:r w:rsidRPr="008F71EC">
        <w:rPr>
          <w:spacing w:val="-2"/>
        </w:rPr>
        <w:t xml:space="preserve"> </w:t>
      </w:r>
      <w:r>
        <w:t>by</w:t>
      </w:r>
      <w:r w:rsidRPr="008F71EC">
        <w:rPr>
          <w:spacing w:val="-3"/>
        </w:rPr>
        <w:t xml:space="preserve"> </w:t>
      </w:r>
      <w:r>
        <w:t>email</w:t>
      </w:r>
      <w:r w:rsidRPr="008F71EC">
        <w:rPr>
          <w:spacing w:val="-4"/>
        </w:rPr>
        <w:t xml:space="preserve"> </w:t>
      </w:r>
      <w:r>
        <w:t>or</w:t>
      </w:r>
      <w:r w:rsidRPr="008F71EC">
        <w:rPr>
          <w:spacing w:val="-1"/>
        </w:rPr>
        <w:t xml:space="preserve"> </w:t>
      </w:r>
      <w:r>
        <w:t>stored</w:t>
      </w:r>
      <w:r w:rsidRPr="008F71EC">
        <w:rPr>
          <w:spacing w:val="-2"/>
        </w:rPr>
        <w:t xml:space="preserve"> </w:t>
      </w:r>
      <w:r>
        <w:t>on</w:t>
      </w:r>
      <w:r w:rsidRPr="008F71EC">
        <w:rPr>
          <w:spacing w:val="-3"/>
        </w:rPr>
        <w:t xml:space="preserve"> </w:t>
      </w:r>
      <w:r>
        <w:t>CDs,</w:t>
      </w:r>
      <w:r w:rsidRPr="008F71EC">
        <w:rPr>
          <w:spacing w:val="-4"/>
        </w:rPr>
        <w:t xml:space="preserve"> </w:t>
      </w:r>
      <w:r>
        <w:t>DVDs,</w:t>
      </w:r>
      <w:r w:rsidRPr="008F71EC">
        <w:rPr>
          <w:spacing w:val="-1"/>
        </w:rPr>
        <w:t xml:space="preserve"> </w:t>
      </w:r>
      <w:r>
        <w:t>thumb</w:t>
      </w:r>
      <w:r w:rsidRPr="008F71EC">
        <w:rPr>
          <w:spacing w:val="-2"/>
        </w:rPr>
        <w:t xml:space="preserve"> </w:t>
      </w:r>
      <w:r>
        <w:t>drives</w:t>
      </w:r>
      <w:r w:rsidRPr="008F71EC">
        <w:rPr>
          <w:spacing w:val="-23"/>
        </w:rPr>
        <w:t xml:space="preserve"> </w:t>
      </w:r>
      <w:r>
        <w:t xml:space="preserve">etc. unless it can be encrypted using federally approved standards. Only the </w:t>
      </w:r>
      <w:r w:rsidR="008F71EC">
        <w:t>CRWDB</w:t>
      </w:r>
      <w:r w:rsidRPr="008F71EC">
        <w:rPr>
          <w:spacing w:val="-4"/>
        </w:rPr>
        <w:t xml:space="preserve"> </w:t>
      </w:r>
      <w:r>
        <w:t>may grant</w:t>
      </w:r>
      <w:r w:rsidRPr="008F71EC">
        <w:rPr>
          <w:spacing w:val="-1"/>
        </w:rPr>
        <w:t xml:space="preserve"> </w:t>
      </w:r>
      <w:r>
        <w:t>such</w:t>
      </w:r>
      <w:r w:rsidRPr="008F71EC">
        <w:rPr>
          <w:spacing w:val="-28"/>
        </w:rPr>
        <w:t xml:space="preserve"> </w:t>
      </w:r>
      <w:r>
        <w:t>permission</w:t>
      </w:r>
      <w:r w:rsidRPr="008F71EC">
        <w:rPr>
          <w:spacing w:val="-5"/>
        </w:rPr>
        <w:t xml:space="preserve"> </w:t>
      </w:r>
      <w:r>
        <w:t>with</w:t>
      </w:r>
      <w:r w:rsidRPr="008F71EC">
        <w:rPr>
          <w:spacing w:val="-2"/>
        </w:rPr>
        <w:t xml:space="preserve"> </w:t>
      </w:r>
      <w:r>
        <w:t>advance</w:t>
      </w:r>
      <w:r w:rsidRPr="008F71EC">
        <w:rPr>
          <w:spacing w:val="-3"/>
        </w:rPr>
        <w:t xml:space="preserve"> </w:t>
      </w:r>
      <w:r>
        <w:t>written</w:t>
      </w:r>
      <w:r w:rsidRPr="008F71EC">
        <w:rPr>
          <w:spacing w:val="-1"/>
        </w:rPr>
        <w:t xml:space="preserve"> </w:t>
      </w:r>
      <w:r>
        <w:t>approval,</w:t>
      </w:r>
      <w:r w:rsidRPr="008F71EC">
        <w:rPr>
          <w:spacing w:val="-4"/>
        </w:rPr>
        <w:t xml:space="preserve"> </w:t>
      </w:r>
      <w:r>
        <w:t>at</w:t>
      </w:r>
      <w:r w:rsidRPr="008F71EC">
        <w:rPr>
          <w:spacing w:val="-3"/>
        </w:rPr>
        <w:t xml:space="preserve"> </w:t>
      </w:r>
      <w:r>
        <w:t>the</w:t>
      </w:r>
      <w:r w:rsidRPr="008F71EC">
        <w:rPr>
          <w:spacing w:val="-1"/>
        </w:rPr>
        <w:t xml:space="preserve"> </w:t>
      </w:r>
      <w:r>
        <w:t>time of</w:t>
      </w:r>
      <w:r w:rsidRPr="008F71EC">
        <w:rPr>
          <w:spacing w:val="-1"/>
        </w:rPr>
        <w:t xml:space="preserve"> </w:t>
      </w:r>
      <w:r>
        <w:t>the</w:t>
      </w:r>
      <w:r w:rsidR="008F71EC">
        <w:t xml:space="preserve"> request will convey the necessary standards to be followed.</w:t>
      </w:r>
    </w:p>
    <w:p w14:paraId="21D450E4" w14:textId="77777777" w:rsidR="00762089" w:rsidRDefault="00762089" w:rsidP="00762089">
      <w:pPr>
        <w:pStyle w:val="ListParagraph"/>
        <w:widowControl w:val="0"/>
        <w:numPr>
          <w:ilvl w:val="1"/>
          <w:numId w:val="11"/>
        </w:numPr>
        <w:tabs>
          <w:tab w:val="left" w:pos="1581"/>
        </w:tabs>
        <w:autoSpaceDE w:val="0"/>
        <w:autoSpaceDN w:val="0"/>
        <w:spacing w:before="53" w:after="0" w:line="288" w:lineRule="auto"/>
        <w:ind w:left="1580" w:right="1443"/>
        <w:contextualSpacing w:val="0"/>
      </w:pPr>
      <w:r>
        <w:t>All PII data of WIOA participants shall be stored in an area that is physically safe from access by unauthorized persons at all</w:t>
      </w:r>
      <w:r>
        <w:rPr>
          <w:spacing w:val="-11"/>
        </w:rPr>
        <w:t xml:space="preserve"> </w:t>
      </w:r>
      <w:r>
        <w:t>times.</w:t>
      </w:r>
    </w:p>
    <w:p w14:paraId="69300A1A" w14:textId="221FA251" w:rsidR="00762089" w:rsidRDefault="00762089" w:rsidP="00762089">
      <w:pPr>
        <w:pStyle w:val="ListParagraph"/>
        <w:widowControl w:val="0"/>
        <w:numPr>
          <w:ilvl w:val="1"/>
          <w:numId w:val="11"/>
        </w:numPr>
        <w:tabs>
          <w:tab w:val="left" w:pos="1580"/>
          <w:tab w:val="left" w:pos="1581"/>
        </w:tabs>
        <w:autoSpaceDE w:val="0"/>
        <w:autoSpaceDN w:val="0"/>
        <w:spacing w:before="1" w:after="0" w:line="288" w:lineRule="auto"/>
        <w:ind w:left="1580" w:right="416"/>
        <w:contextualSpacing w:val="0"/>
      </w:pPr>
      <w:r>
        <w:t xml:space="preserve">Electronic data will be processed only through the state WIOA system of record as communicated. (Currently the Virtual One Stop, or VOS, that is part of the Commonwealth’s Virginia Workforce Connection). Accessing, processing and storing of WIOA grant PII data on personally owned equipment, at off-site locations and non-grantee managed IT services is strictly prohibited unless approved </w:t>
      </w:r>
      <w:r>
        <w:rPr>
          <w:spacing w:val="4"/>
        </w:rPr>
        <w:t>by</w:t>
      </w:r>
      <w:r w:rsidR="008F71EC">
        <w:rPr>
          <w:spacing w:val="4"/>
        </w:rPr>
        <w:t xml:space="preserve"> </w:t>
      </w:r>
      <w:r>
        <w:rPr>
          <w:spacing w:val="4"/>
        </w:rPr>
        <w:t xml:space="preserve">the </w:t>
      </w:r>
      <w:r>
        <w:t>Commonwealth of</w:t>
      </w:r>
      <w:r>
        <w:rPr>
          <w:spacing w:val="-8"/>
        </w:rPr>
        <w:t xml:space="preserve"> </w:t>
      </w:r>
      <w:r>
        <w:t>Virginia.</w:t>
      </w:r>
    </w:p>
    <w:p w14:paraId="73006806" w14:textId="77777777" w:rsidR="00762089" w:rsidRDefault="00762089" w:rsidP="00762089">
      <w:pPr>
        <w:pStyle w:val="ListParagraph"/>
        <w:widowControl w:val="0"/>
        <w:numPr>
          <w:ilvl w:val="1"/>
          <w:numId w:val="11"/>
        </w:numPr>
        <w:tabs>
          <w:tab w:val="left" w:pos="1581"/>
        </w:tabs>
        <w:autoSpaceDE w:val="0"/>
        <w:autoSpaceDN w:val="0"/>
        <w:spacing w:after="0" w:line="288" w:lineRule="auto"/>
        <w:ind w:left="1580" w:right="525"/>
        <w:contextualSpacing w:val="0"/>
      </w:pPr>
      <w:r>
        <w:t>PII</w:t>
      </w:r>
      <w:r>
        <w:rPr>
          <w:spacing w:val="-2"/>
        </w:rPr>
        <w:t xml:space="preserve"> </w:t>
      </w:r>
      <w:r>
        <w:t>and</w:t>
      </w:r>
      <w:r>
        <w:rPr>
          <w:spacing w:val="-2"/>
        </w:rPr>
        <w:t xml:space="preserve"> </w:t>
      </w:r>
      <w:r>
        <w:t>sensitive</w:t>
      </w:r>
      <w:r>
        <w:rPr>
          <w:spacing w:val="-3"/>
        </w:rPr>
        <w:t xml:space="preserve"> </w:t>
      </w:r>
      <w:r>
        <w:t>data</w:t>
      </w:r>
      <w:r>
        <w:rPr>
          <w:spacing w:val="-2"/>
        </w:rPr>
        <w:t xml:space="preserve"> </w:t>
      </w:r>
      <w:r>
        <w:t>will</w:t>
      </w:r>
      <w:r>
        <w:rPr>
          <w:spacing w:val="-4"/>
        </w:rPr>
        <w:t xml:space="preserve"> </w:t>
      </w:r>
      <w:r>
        <w:t>only be retained</w:t>
      </w:r>
      <w:r>
        <w:rPr>
          <w:spacing w:val="2"/>
        </w:rPr>
        <w:t xml:space="preserve"> </w:t>
      </w:r>
      <w:r>
        <w:t>for</w:t>
      </w:r>
      <w:r>
        <w:rPr>
          <w:spacing w:val="-1"/>
        </w:rPr>
        <w:t xml:space="preserve"> </w:t>
      </w:r>
      <w:r>
        <w:t>the retention</w:t>
      </w:r>
      <w:r>
        <w:rPr>
          <w:spacing w:val="-2"/>
        </w:rPr>
        <w:t xml:space="preserve"> </w:t>
      </w:r>
      <w:r>
        <w:t>period</w:t>
      </w:r>
      <w:r>
        <w:rPr>
          <w:spacing w:val="-3"/>
        </w:rPr>
        <w:t xml:space="preserve"> </w:t>
      </w:r>
      <w:r>
        <w:t>outlined</w:t>
      </w:r>
      <w:r>
        <w:rPr>
          <w:spacing w:val="-1"/>
        </w:rPr>
        <w:t xml:space="preserve"> </w:t>
      </w:r>
      <w:r>
        <w:t>in</w:t>
      </w:r>
      <w:r>
        <w:rPr>
          <w:spacing w:val="-4"/>
        </w:rPr>
        <w:t xml:space="preserve"> </w:t>
      </w:r>
      <w:r>
        <w:t>Part</w:t>
      </w:r>
      <w:r>
        <w:rPr>
          <w:spacing w:val="-1"/>
        </w:rPr>
        <w:t xml:space="preserve"> </w:t>
      </w:r>
      <w:r>
        <w:t>2</w:t>
      </w:r>
      <w:r>
        <w:rPr>
          <w:spacing w:val="-2"/>
        </w:rPr>
        <w:t xml:space="preserve"> </w:t>
      </w:r>
      <w:r>
        <w:t>of</w:t>
      </w:r>
      <w:r>
        <w:rPr>
          <w:spacing w:val="-3"/>
        </w:rPr>
        <w:t xml:space="preserve"> </w:t>
      </w:r>
      <w:r>
        <w:t>this</w:t>
      </w:r>
      <w:r>
        <w:rPr>
          <w:spacing w:val="-1"/>
        </w:rPr>
        <w:t xml:space="preserve"> </w:t>
      </w:r>
      <w:r>
        <w:t>policy,</w:t>
      </w:r>
      <w:r>
        <w:rPr>
          <w:spacing w:val="-30"/>
        </w:rPr>
        <w:t xml:space="preserve"> </w:t>
      </w:r>
      <w:r>
        <w:t>and then destroyed.</w:t>
      </w:r>
    </w:p>
    <w:p w14:paraId="71A3B38D" w14:textId="77777777" w:rsidR="00762089" w:rsidRDefault="00762089" w:rsidP="00762089">
      <w:pPr>
        <w:pStyle w:val="ListParagraph"/>
        <w:widowControl w:val="0"/>
        <w:numPr>
          <w:ilvl w:val="1"/>
          <w:numId w:val="11"/>
        </w:numPr>
        <w:tabs>
          <w:tab w:val="left" w:pos="1581"/>
        </w:tabs>
        <w:autoSpaceDE w:val="0"/>
        <w:autoSpaceDN w:val="0"/>
        <w:spacing w:after="0" w:line="288" w:lineRule="auto"/>
        <w:ind w:left="1580" w:right="534"/>
        <w:contextualSpacing w:val="0"/>
      </w:pPr>
      <w:r>
        <w:t>No PII or sensitive information will be used for any purpose other than necessary under the WIOA. Any</w:t>
      </w:r>
      <w:r>
        <w:rPr>
          <w:spacing w:val="-2"/>
        </w:rPr>
        <w:t xml:space="preserve"> </w:t>
      </w:r>
      <w:r>
        <w:t>information</w:t>
      </w:r>
      <w:r>
        <w:rPr>
          <w:spacing w:val="-2"/>
        </w:rPr>
        <w:t xml:space="preserve"> </w:t>
      </w:r>
      <w:r>
        <w:t>collected</w:t>
      </w:r>
      <w:r>
        <w:rPr>
          <w:spacing w:val="-2"/>
        </w:rPr>
        <w:t xml:space="preserve"> </w:t>
      </w:r>
      <w:r>
        <w:t>for</w:t>
      </w:r>
      <w:r>
        <w:rPr>
          <w:spacing w:val="-1"/>
        </w:rPr>
        <w:t xml:space="preserve"> </w:t>
      </w:r>
      <w:r>
        <w:t>customer</w:t>
      </w:r>
      <w:r>
        <w:rPr>
          <w:spacing w:val="-3"/>
        </w:rPr>
        <w:t xml:space="preserve"> </w:t>
      </w:r>
      <w:r>
        <w:t>service</w:t>
      </w:r>
      <w:r>
        <w:rPr>
          <w:spacing w:val="-3"/>
        </w:rPr>
        <w:t xml:space="preserve"> </w:t>
      </w:r>
      <w:r>
        <w:t>or</w:t>
      </w:r>
      <w:r>
        <w:rPr>
          <w:spacing w:val="-4"/>
        </w:rPr>
        <w:t xml:space="preserve"> </w:t>
      </w:r>
      <w:r>
        <w:t>continuous</w:t>
      </w:r>
      <w:r>
        <w:rPr>
          <w:spacing w:val="-1"/>
        </w:rPr>
        <w:t xml:space="preserve"> </w:t>
      </w:r>
      <w:r>
        <w:t>improvement</w:t>
      </w:r>
      <w:r>
        <w:rPr>
          <w:spacing w:val="-1"/>
        </w:rPr>
        <w:t xml:space="preserve"> </w:t>
      </w:r>
      <w:r>
        <w:t>efforts</w:t>
      </w:r>
      <w:r>
        <w:rPr>
          <w:spacing w:val="-1"/>
        </w:rPr>
        <w:t xml:space="preserve"> </w:t>
      </w:r>
      <w:r>
        <w:t>will</w:t>
      </w:r>
      <w:r>
        <w:rPr>
          <w:spacing w:val="-1"/>
        </w:rPr>
        <w:t xml:space="preserve"> </w:t>
      </w:r>
      <w:r>
        <w:t>be</w:t>
      </w:r>
      <w:r>
        <w:rPr>
          <w:spacing w:val="-27"/>
        </w:rPr>
        <w:t xml:space="preserve"> </w:t>
      </w:r>
      <w:r>
        <w:t>aggregated, reported anonymously without any connection to an</w:t>
      </w:r>
      <w:r>
        <w:rPr>
          <w:spacing w:val="-5"/>
        </w:rPr>
        <w:t xml:space="preserve"> </w:t>
      </w:r>
      <w:r>
        <w:t>individual.</w:t>
      </w:r>
    </w:p>
    <w:p w14:paraId="302C0E5A" w14:textId="32A2C030" w:rsidR="00762089" w:rsidRDefault="00762089" w:rsidP="00762089">
      <w:pPr>
        <w:pStyle w:val="ListParagraph"/>
        <w:widowControl w:val="0"/>
        <w:numPr>
          <w:ilvl w:val="1"/>
          <w:numId w:val="11"/>
        </w:numPr>
        <w:tabs>
          <w:tab w:val="left" w:pos="1580"/>
          <w:tab w:val="left" w:pos="1581"/>
        </w:tabs>
        <w:autoSpaceDE w:val="0"/>
        <w:autoSpaceDN w:val="0"/>
        <w:spacing w:after="0" w:line="290" w:lineRule="auto"/>
        <w:ind w:left="1580" w:right="340"/>
        <w:contextualSpacing w:val="0"/>
      </w:pPr>
      <w:r>
        <w:lastRenderedPageBreak/>
        <w:t>No third-party</w:t>
      </w:r>
      <w:r>
        <w:rPr>
          <w:spacing w:val="-3"/>
        </w:rPr>
        <w:t xml:space="preserve"> </w:t>
      </w:r>
      <w:r>
        <w:t>market</w:t>
      </w:r>
      <w:r>
        <w:rPr>
          <w:spacing w:val="-3"/>
        </w:rPr>
        <w:t xml:space="preserve"> </w:t>
      </w:r>
      <w:r>
        <w:t>opinion</w:t>
      </w:r>
      <w:r>
        <w:rPr>
          <w:spacing w:val="-2"/>
        </w:rPr>
        <w:t xml:space="preserve"> </w:t>
      </w:r>
      <w:r>
        <w:t>surveys,</w:t>
      </w:r>
      <w:r>
        <w:rPr>
          <w:spacing w:val="-1"/>
        </w:rPr>
        <w:t xml:space="preserve"> </w:t>
      </w:r>
      <w:r>
        <w:t>research,</w:t>
      </w:r>
      <w:r>
        <w:rPr>
          <w:spacing w:val="-1"/>
        </w:rPr>
        <w:t xml:space="preserve"> </w:t>
      </w:r>
      <w:r>
        <w:t>panel</w:t>
      </w:r>
      <w:r>
        <w:rPr>
          <w:spacing w:val="-1"/>
        </w:rPr>
        <w:t xml:space="preserve"> </w:t>
      </w:r>
      <w:r>
        <w:t>or focus</w:t>
      </w:r>
      <w:r>
        <w:rPr>
          <w:spacing w:val="-1"/>
        </w:rPr>
        <w:t xml:space="preserve"> </w:t>
      </w:r>
      <w:r>
        <w:t>groups</w:t>
      </w:r>
      <w:r>
        <w:rPr>
          <w:spacing w:val="-1"/>
        </w:rPr>
        <w:t xml:space="preserve"> </w:t>
      </w:r>
      <w:r>
        <w:t>shall</w:t>
      </w:r>
      <w:r>
        <w:rPr>
          <w:spacing w:val="-2"/>
        </w:rPr>
        <w:t xml:space="preserve"> </w:t>
      </w:r>
      <w:r>
        <w:t>be granted</w:t>
      </w:r>
      <w:r>
        <w:rPr>
          <w:spacing w:val="-2"/>
        </w:rPr>
        <w:t xml:space="preserve"> </w:t>
      </w:r>
      <w:r>
        <w:t>access</w:t>
      </w:r>
      <w:r>
        <w:rPr>
          <w:spacing w:val="-2"/>
        </w:rPr>
        <w:t xml:space="preserve"> </w:t>
      </w:r>
      <w:r>
        <w:t>to</w:t>
      </w:r>
      <w:r>
        <w:rPr>
          <w:spacing w:val="-1"/>
        </w:rPr>
        <w:t xml:space="preserve"> </w:t>
      </w:r>
      <w:r>
        <w:t>PII</w:t>
      </w:r>
      <w:r>
        <w:rPr>
          <w:spacing w:val="-26"/>
        </w:rPr>
        <w:t xml:space="preserve"> </w:t>
      </w:r>
      <w:r>
        <w:t>and other sensitive WIOA participant information without prior written consent of the</w:t>
      </w:r>
      <w:r>
        <w:rPr>
          <w:spacing w:val="-31"/>
        </w:rPr>
        <w:t xml:space="preserve"> </w:t>
      </w:r>
      <w:r>
        <w:t>WDB.</w:t>
      </w:r>
    </w:p>
    <w:p w14:paraId="28B3C536" w14:textId="1CB0191C" w:rsidR="008F71EC" w:rsidRDefault="008F71EC" w:rsidP="00762089">
      <w:pPr>
        <w:pStyle w:val="ListParagraph"/>
        <w:widowControl w:val="0"/>
        <w:numPr>
          <w:ilvl w:val="1"/>
          <w:numId w:val="11"/>
        </w:numPr>
        <w:tabs>
          <w:tab w:val="left" w:pos="1580"/>
          <w:tab w:val="left" w:pos="1581"/>
        </w:tabs>
        <w:autoSpaceDE w:val="0"/>
        <w:autoSpaceDN w:val="0"/>
        <w:spacing w:after="0" w:line="290" w:lineRule="auto"/>
        <w:ind w:left="1580" w:right="340"/>
        <w:contextualSpacing w:val="0"/>
      </w:pPr>
      <w:r>
        <w:t>When/if there is a change in Service Provider(s)/WIOA Staff, all PII that has been collected by that staff person/provider must be surrendered to the CRWDB in order to transfer it to the new provider/staff.</w:t>
      </w:r>
    </w:p>
    <w:p w14:paraId="2AC00597" w14:textId="7F69C646" w:rsidR="008A6F8C" w:rsidRPr="001134C9" w:rsidRDefault="008A6F8C" w:rsidP="008A6F8C">
      <w:pPr>
        <w:pStyle w:val="ListParagraph"/>
        <w:widowControl w:val="0"/>
        <w:numPr>
          <w:ilvl w:val="0"/>
          <w:numId w:val="11"/>
        </w:numPr>
        <w:tabs>
          <w:tab w:val="left" w:pos="1580"/>
          <w:tab w:val="left" w:pos="1581"/>
        </w:tabs>
        <w:autoSpaceDE w:val="0"/>
        <w:autoSpaceDN w:val="0"/>
        <w:spacing w:after="0" w:line="290" w:lineRule="auto"/>
        <w:ind w:right="340"/>
      </w:pPr>
      <w:r w:rsidRPr="001134C9">
        <w:t>Data Breach</w:t>
      </w:r>
    </w:p>
    <w:p w14:paraId="17E85D53" w14:textId="7BD7301D" w:rsidR="008A6F8C" w:rsidRPr="001134C9" w:rsidRDefault="008A6F8C" w:rsidP="008A6F8C">
      <w:pPr>
        <w:pStyle w:val="ListParagraph"/>
        <w:widowControl w:val="0"/>
        <w:tabs>
          <w:tab w:val="left" w:pos="1580"/>
          <w:tab w:val="left" w:pos="1581"/>
        </w:tabs>
        <w:autoSpaceDE w:val="0"/>
        <w:autoSpaceDN w:val="0"/>
        <w:spacing w:after="0" w:line="290" w:lineRule="auto"/>
        <w:ind w:left="920" w:right="340"/>
      </w:pPr>
    </w:p>
    <w:p w14:paraId="624A1822" w14:textId="37D12F7D" w:rsidR="000828F8" w:rsidRPr="001134C9" w:rsidRDefault="000828F8" w:rsidP="000828F8">
      <w:pPr>
        <w:pStyle w:val="ListParagraph"/>
        <w:widowControl w:val="0"/>
        <w:tabs>
          <w:tab w:val="left" w:pos="1580"/>
          <w:tab w:val="left" w:pos="1581"/>
        </w:tabs>
        <w:autoSpaceDE w:val="0"/>
        <w:autoSpaceDN w:val="0"/>
        <w:spacing w:after="0" w:line="290" w:lineRule="auto"/>
        <w:ind w:left="920" w:right="340"/>
      </w:pPr>
      <w:r w:rsidRPr="001134C9">
        <w:t xml:space="preserve">In the event that the CRWDB or Service Provider(s)/WIOA Staff suspects, discovers, or is notified of a data security incident or potential breach of security relating to personal information, the </w:t>
      </w:r>
      <w:r w:rsidR="00E8245C" w:rsidRPr="001134C9">
        <w:t>CR</w:t>
      </w:r>
      <w:r w:rsidRPr="001134C9">
        <w:t>WDB shall as soon as possible, but no later than twenty-four (24) hours from the incident, notify the WIOA Title I Administrator and Grant Recipient. The WIOA Title I Administrator will notify the DOLETA Federal Project Officer assigned to Virginia about data security incident or potential breach.</w:t>
      </w:r>
      <w:r w:rsidR="00E8245C" w:rsidRPr="001134C9">
        <w:t xml:space="preserve"> The CRWDB will provide </w:t>
      </w:r>
      <w:r w:rsidR="002F323F" w:rsidRPr="001134C9">
        <w:t>a timely</w:t>
      </w:r>
      <w:r w:rsidRPr="001134C9">
        <w:t xml:space="preserve"> notice of a breach to </w:t>
      </w:r>
      <w:r w:rsidR="00E8245C" w:rsidRPr="001134C9">
        <w:t>the CRWDB</w:t>
      </w:r>
      <w:r w:rsidRPr="001134C9">
        <w:t xml:space="preserve"> board members and </w:t>
      </w:r>
      <w:r w:rsidR="00E8245C" w:rsidRPr="001134C9">
        <w:t>C</w:t>
      </w:r>
      <w:r w:rsidRPr="001134C9">
        <w:t xml:space="preserve">hief </w:t>
      </w:r>
      <w:r w:rsidR="00E8245C" w:rsidRPr="001134C9">
        <w:t>E</w:t>
      </w:r>
      <w:r w:rsidRPr="001134C9">
        <w:t xml:space="preserve">lected </w:t>
      </w:r>
      <w:r w:rsidR="00E8245C" w:rsidRPr="001134C9">
        <w:t>O</w:t>
      </w:r>
      <w:r w:rsidRPr="001134C9">
        <w:t xml:space="preserve">fficials. </w:t>
      </w:r>
    </w:p>
    <w:p w14:paraId="095DBD94" w14:textId="1730FCD1" w:rsidR="000828F8" w:rsidRPr="001134C9" w:rsidRDefault="000828F8" w:rsidP="000828F8">
      <w:pPr>
        <w:pStyle w:val="ListParagraph"/>
        <w:widowControl w:val="0"/>
        <w:tabs>
          <w:tab w:val="left" w:pos="1580"/>
          <w:tab w:val="left" w:pos="1581"/>
        </w:tabs>
        <w:autoSpaceDE w:val="0"/>
        <w:autoSpaceDN w:val="0"/>
        <w:spacing w:after="0" w:line="290" w:lineRule="auto"/>
        <w:ind w:left="920" w:right="340"/>
      </w:pPr>
      <w:r w:rsidRPr="001134C9">
        <w:t>The notification shall include the following:</w:t>
      </w:r>
    </w:p>
    <w:p w14:paraId="4D5FAC00" w14:textId="2C4DD24D" w:rsidR="00E8245C" w:rsidRPr="001134C9" w:rsidRDefault="00E8245C" w:rsidP="00E8245C">
      <w:pPr>
        <w:pStyle w:val="ListParagraph"/>
        <w:widowControl w:val="0"/>
        <w:numPr>
          <w:ilvl w:val="0"/>
          <w:numId w:val="17"/>
        </w:numPr>
        <w:tabs>
          <w:tab w:val="left" w:pos="1580"/>
          <w:tab w:val="left" w:pos="1581"/>
        </w:tabs>
        <w:autoSpaceDE w:val="0"/>
        <w:autoSpaceDN w:val="0"/>
        <w:spacing w:after="0" w:line="290" w:lineRule="auto"/>
        <w:ind w:right="340"/>
      </w:pPr>
      <w:r w:rsidRPr="001134C9">
        <w:t>Approximate date of incident;</w:t>
      </w:r>
    </w:p>
    <w:p w14:paraId="40898CEB" w14:textId="447DEBB3" w:rsidR="00E8245C" w:rsidRPr="001134C9" w:rsidRDefault="00E8245C" w:rsidP="00E8245C">
      <w:pPr>
        <w:pStyle w:val="ListParagraph"/>
        <w:widowControl w:val="0"/>
        <w:numPr>
          <w:ilvl w:val="0"/>
          <w:numId w:val="17"/>
        </w:numPr>
        <w:tabs>
          <w:tab w:val="left" w:pos="1580"/>
          <w:tab w:val="left" w:pos="1581"/>
        </w:tabs>
        <w:autoSpaceDE w:val="0"/>
        <w:autoSpaceDN w:val="0"/>
        <w:spacing w:after="0" w:line="290" w:lineRule="auto"/>
        <w:ind w:right="340"/>
      </w:pPr>
      <w:r w:rsidRPr="001134C9">
        <w:t>Description of cause of the security event and how it was discovered;</w:t>
      </w:r>
    </w:p>
    <w:p w14:paraId="2DC803A0" w14:textId="1E275348" w:rsidR="00E8245C" w:rsidRPr="001134C9" w:rsidRDefault="00E8245C" w:rsidP="00E8245C">
      <w:pPr>
        <w:pStyle w:val="ListParagraph"/>
        <w:widowControl w:val="0"/>
        <w:numPr>
          <w:ilvl w:val="0"/>
          <w:numId w:val="17"/>
        </w:numPr>
        <w:tabs>
          <w:tab w:val="left" w:pos="1580"/>
          <w:tab w:val="left" w:pos="1581"/>
        </w:tabs>
        <w:autoSpaceDE w:val="0"/>
        <w:autoSpaceDN w:val="0"/>
        <w:spacing w:after="0" w:line="290" w:lineRule="auto"/>
        <w:ind w:right="340"/>
      </w:pPr>
      <w:r w:rsidRPr="001134C9">
        <w:t>Numbers of individuals affected and the type of PII involved</w:t>
      </w:r>
      <w:r w:rsidR="00CF6408" w:rsidRPr="001134C9">
        <w:t>;</w:t>
      </w:r>
    </w:p>
    <w:p w14:paraId="65B2BDBB" w14:textId="0BE60408" w:rsidR="00CF6408" w:rsidRDefault="00CF6408" w:rsidP="00E8245C">
      <w:pPr>
        <w:pStyle w:val="ListParagraph"/>
        <w:widowControl w:val="0"/>
        <w:numPr>
          <w:ilvl w:val="0"/>
          <w:numId w:val="17"/>
        </w:numPr>
        <w:tabs>
          <w:tab w:val="left" w:pos="1580"/>
          <w:tab w:val="left" w:pos="1581"/>
        </w:tabs>
        <w:autoSpaceDE w:val="0"/>
        <w:autoSpaceDN w:val="0"/>
        <w:spacing w:after="0" w:line="290" w:lineRule="auto"/>
        <w:ind w:right="340"/>
      </w:pPr>
      <w:r w:rsidRPr="001134C9">
        <w:t>Steps taken/to be taken to remedy event.</w:t>
      </w:r>
    </w:p>
    <w:p w14:paraId="35AAE524" w14:textId="389665DE" w:rsidR="008A6F8C" w:rsidRPr="001134C9" w:rsidRDefault="000828F8" w:rsidP="00CF6408">
      <w:pPr>
        <w:widowControl w:val="0"/>
        <w:tabs>
          <w:tab w:val="left" w:pos="1580"/>
          <w:tab w:val="left" w:pos="1581"/>
        </w:tabs>
        <w:autoSpaceDE w:val="0"/>
        <w:autoSpaceDN w:val="0"/>
        <w:spacing w:after="0" w:line="290" w:lineRule="auto"/>
        <w:ind w:right="340"/>
      </w:pPr>
      <w:r w:rsidRPr="001134C9">
        <w:tab/>
      </w:r>
    </w:p>
    <w:p w14:paraId="39F898B4" w14:textId="1107175F" w:rsidR="000828F8" w:rsidRPr="001134C9" w:rsidRDefault="000828F8" w:rsidP="000828F8">
      <w:pPr>
        <w:widowControl w:val="0"/>
        <w:tabs>
          <w:tab w:val="left" w:pos="1580"/>
          <w:tab w:val="left" w:pos="1581"/>
        </w:tabs>
        <w:autoSpaceDE w:val="0"/>
        <w:autoSpaceDN w:val="0"/>
        <w:spacing w:after="0" w:line="290" w:lineRule="auto"/>
        <w:ind w:right="340"/>
      </w:pPr>
    </w:p>
    <w:p w14:paraId="58185327" w14:textId="23E9AC5F" w:rsidR="000828F8" w:rsidRDefault="000828F8" w:rsidP="00CF6408">
      <w:pPr>
        <w:widowControl w:val="0"/>
        <w:tabs>
          <w:tab w:val="left" w:pos="1580"/>
          <w:tab w:val="left" w:pos="1581"/>
        </w:tabs>
        <w:autoSpaceDE w:val="0"/>
        <w:autoSpaceDN w:val="0"/>
        <w:spacing w:after="0" w:line="290" w:lineRule="auto"/>
        <w:ind w:left="720" w:right="340"/>
      </w:pPr>
      <w:r w:rsidRPr="001134C9">
        <w:t>The LWDB or contracted service provider shall also comply with notification requirements outlined in §18.2-186.6. of the Code of Virginia.</w:t>
      </w:r>
    </w:p>
    <w:p w14:paraId="66D2A292" w14:textId="77777777" w:rsidR="00AF5E63" w:rsidRDefault="00AF5E63" w:rsidP="00AF5E63">
      <w:pPr>
        <w:pStyle w:val="ListParagraph"/>
        <w:widowControl w:val="0"/>
        <w:tabs>
          <w:tab w:val="left" w:pos="1580"/>
          <w:tab w:val="left" w:pos="1581"/>
        </w:tabs>
        <w:autoSpaceDE w:val="0"/>
        <w:autoSpaceDN w:val="0"/>
        <w:spacing w:after="0" w:line="290" w:lineRule="auto"/>
        <w:ind w:left="1580" w:right="340"/>
        <w:contextualSpacing w:val="0"/>
      </w:pPr>
    </w:p>
    <w:p w14:paraId="356CB67B" w14:textId="21962DD5" w:rsidR="00762089" w:rsidRDefault="00762089" w:rsidP="00762089">
      <w:pPr>
        <w:pStyle w:val="BodyText"/>
        <w:spacing w:before="6"/>
        <w:rPr>
          <w:sz w:val="21"/>
        </w:rPr>
      </w:pPr>
    </w:p>
    <w:p w14:paraId="26A151D8" w14:textId="71FD1088" w:rsidR="00762089" w:rsidRPr="00AF5E63" w:rsidRDefault="00AF5E63" w:rsidP="00AF5E63">
      <w:pPr>
        <w:pStyle w:val="BodyText"/>
        <w:ind w:left="104"/>
        <w:jc w:val="center"/>
        <w:rPr>
          <w:b/>
          <w:bCs/>
          <w:sz w:val="20"/>
        </w:rPr>
      </w:pPr>
      <w:r w:rsidRPr="00AF5E63">
        <w:rPr>
          <w:b/>
          <w:bCs/>
          <w:sz w:val="20"/>
        </w:rPr>
        <w:t>Part 2- Record Retention Requirements</w:t>
      </w:r>
    </w:p>
    <w:p w14:paraId="15CD980C" w14:textId="77777777" w:rsidR="00762089" w:rsidRDefault="00762089" w:rsidP="00762089">
      <w:pPr>
        <w:pStyle w:val="BodyText"/>
        <w:spacing w:before="5"/>
        <w:rPr>
          <w:sz w:val="21"/>
        </w:rPr>
      </w:pPr>
    </w:p>
    <w:p w14:paraId="0B4ED044" w14:textId="77777777" w:rsidR="00762089" w:rsidRDefault="00762089" w:rsidP="00762089">
      <w:pPr>
        <w:pStyle w:val="ListParagraph"/>
        <w:widowControl w:val="0"/>
        <w:numPr>
          <w:ilvl w:val="0"/>
          <w:numId w:val="10"/>
        </w:numPr>
        <w:tabs>
          <w:tab w:val="left" w:pos="921"/>
        </w:tabs>
        <w:autoSpaceDE w:val="0"/>
        <w:autoSpaceDN w:val="0"/>
        <w:spacing w:before="56" w:after="0" w:line="240" w:lineRule="auto"/>
        <w:contextualSpacing w:val="0"/>
      </w:pPr>
      <w:r>
        <w:t>General</w:t>
      </w:r>
      <w:r>
        <w:rPr>
          <w:spacing w:val="-5"/>
        </w:rPr>
        <w:t xml:space="preserve"> </w:t>
      </w:r>
      <w:r>
        <w:t>Provisions</w:t>
      </w:r>
    </w:p>
    <w:p w14:paraId="69987440" w14:textId="39B3AD4E" w:rsidR="00762089" w:rsidRDefault="00762089" w:rsidP="00762089">
      <w:pPr>
        <w:pStyle w:val="ListParagraph"/>
        <w:widowControl w:val="0"/>
        <w:numPr>
          <w:ilvl w:val="1"/>
          <w:numId w:val="10"/>
        </w:numPr>
        <w:tabs>
          <w:tab w:val="left" w:pos="1641"/>
        </w:tabs>
        <w:autoSpaceDE w:val="0"/>
        <w:autoSpaceDN w:val="0"/>
        <w:spacing w:before="53" w:after="0" w:line="288" w:lineRule="auto"/>
        <w:ind w:right="626"/>
        <w:contextualSpacing w:val="0"/>
      </w:pPr>
      <w:r>
        <w:t>WIOA service providers must establish and maintain adequate accounting books, records and controls sufficient to accurately track and report all financial transactions related to work performed and</w:t>
      </w:r>
      <w:r w:rsidR="00AF5E63">
        <w:t xml:space="preserve"> </w:t>
      </w:r>
      <w:r>
        <w:t>costs incurred relative to WIOA Title I-funded</w:t>
      </w:r>
      <w:r>
        <w:rPr>
          <w:spacing w:val="-16"/>
        </w:rPr>
        <w:t xml:space="preserve"> </w:t>
      </w:r>
      <w:r>
        <w:t>activities.</w:t>
      </w:r>
    </w:p>
    <w:p w14:paraId="18B0BA42" w14:textId="77777777" w:rsidR="00762089" w:rsidRDefault="00762089" w:rsidP="00762089">
      <w:pPr>
        <w:pStyle w:val="ListParagraph"/>
        <w:widowControl w:val="0"/>
        <w:numPr>
          <w:ilvl w:val="1"/>
          <w:numId w:val="10"/>
        </w:numPr>
        <w:tabs>
          <w:tab w:val="left" w:pos="1641"/>
        </w:tabs>
        <w:autoSpaceDE w:val="0"/>
        <w:autoSpaceDN w:val="0"/>
        <w:spacing w:before="1" w:after="0" w:line="288" w:lineRule="auto"/>
        <w:ind w:right="579"/>
        <w:contextualSpacing w:val="0"/>
      </w:pPr>
      <w:r>
        <w:t>WIOA service providers must keep and maintain original source documentation as evidence of all work performed and costs incurred. All records, data or information related to WIOA Title I funds are to</w:t>
      </w:r>
      <w:r>
        <w:rPr>
          <w:spacing w:val="-24"/>
        </w:rPr>
        <w:t xml:space="preserve"> </w:t>
      </w:r>
      <w:r>
        <w:t>be</w:t>
      </w:r>
      <w:r>
        <w:rPr>
          <w:spacing w:val="-3"/>
        </w:rPr>
        <w:t xml:space="preserve"> </w:t>
      </w:r>
      <w:r>
        <w:t>retained</w:t>
      </w:r>
      <w:r>
        <w:rPr>
          <w:spacing w:val="-2"/>
        </w:rPr>
        <w:t xml:space="preserve"> </w:t>
      </w:r>
      <w:r>
        <w:t>separately</w:t>
      </w:r>
      <w:r>
        <w:rPr>
          <w:spacing w:val="-1"/>
        </w:rPr>
        <w:t xml:space="preserve"> </w:t>
      </w:r>
      <w:r>
        <w:t>and</w:t>
      </w:r>
      <w:r>
        <w:rPr>
          <w:spacing w:val="-2"/>
        </w:rPr>
        <w:t xml:space="preserve"> </w:t>
      </w:r>
      <w:r>
        <w:t>distinctively</w:t>
      </w:r>
      <w:r>
        <w:rPr>
          <w:spacing w:val="-2"/>
        </w:rPr>
        <w:t xml:space="preserve"> </w:t>
      </w:r>
      <w:r>
        <w:t>from the</w:t>
      </w:r>
      <w:r>
        <w:rPr>
          <w:spacing w:val="-3"/>
        </w:rPr>
        <w:t xml:space="preserve"> </w:t>
      </w:r>
      <w:r>
        <w:t>other</w:t>
      </w:r>
      <w:r>
        <w:rPr>
          <w:spacing w:val="-1"/>
        </w:rPr>
        <w:t xml:space="preserve"> </w:t>
      </w:r>
      <w:r>
        <w:t>records</w:t>
      </w:r>
      <w:r>
        <w:rPr>
          <w:spacing w:val="-4"/>
        </w:rPr>
        <w:t xml:space="preserve"> </w:t>
      </w:r>
      <w:r>
        <w:t>of</w:t>
      </w:r>
      <w:r>
        <w:rPr>
          <w:spacing w:val="-1"/>
        </w:rPr>
        <w:t xml:space="preserve"> </w:t>
      </w:r>
      <w:r>
        <w:t>the service</w:t>
      </w:r>
      <w:r>
        <w:rPr>
          <w:spacing w:val="-1"/>
        </w:rPr>
        <w:t xml:space="preserve"> </w:t>
      </w:r>
      <w:r>
        <w:t>provider</w:t>
      </w:r>
      <w:r>
        <w:rPr>
          <w:spacing w:val="-11"/>
        </w:rPr>
        <w:t xml:space="preserve"> </w:t>
      </w:r>
      <w:r>
        <w:t>entity.</w:t>
      </w:r>
    </w:p>
    <w:p w14:paraId="4EE624E2" w14:textId="77777777" w:rsidR="00762089" w:rsidRDefault="00762089" w:rsidP="00762089">
      <w:pPr>
        <w:pStyle w:val="ListParagraph"/>
        <w:widowControl w:val="0"/>
        <w:numPr>
          <w:ilvl w:val="1"/>
          <w:numId w:val="10"/>
        </w:numPr>
        <w:tabs>
          <w:tab w:val="left" w:pos="1640"/>
          <w:tab w:val="left" w:pos="1641"/>
        </w:tabs>
        <w:autoSpaceDE w:val="0"/>
        <w:autoSpaceDN w:val="0"/>
        <w:spacing w:after="0" w:line="290" w:lineRule="auto"/>
        <w:ind w:right="411"/>
        <w:contextualSpacing w:val="0"/>
      </w:pPr>
      <w:r>
        <w:t>All records relating to WIOA Title I funds must be kept in a secured location with controlled access only for authorized</w:t>
      </w:r>
      <w:r>
        <w:rPr>
          <w:spacing w:val="-1"/>
        </w:rPr>
        <w:t xml:space="preserve"> </w:t>
      </w:r>
      <w:r>
        <w:t>individuals.</w:t>
      </w:r>
    </w:p>
    <w:p w14:paraId="6E21C0B3" w14:textId="3D0C6340" w:rsidR="00762089" w:rsidRDefault="00762089" w:rsidP="00762089">
      <w:pPr>
        <w:pStyle w:val="ListParagraph"/>
        <w:widowControl w:val="0"/>
        <w:numPr>
          <w:ilvl w:val="1"/>
          <w:numId w:val="10"/>
        </w:numPr>
        <w:tabs>
          <w:tab w:val="left" w:pos="1641"/>
        </w:tabs>
        <w:autoSpaceDE w:val="0"/>
        <w:autoSpaceDN w:val="0"/>
        <w:spacing w:after="0" w:line="288" w:lineRule="auto"/>
        <w:ind w:right="783"/>
        <w:contextualSpacing w:val="0"/>
      </w:pPr>
      <w:r>
        <w:t>When</w:t>
      </w:r>
      <w:r>
        <w:rPr>
          <w:spacing w:val="-2"/>
        </w:rPr>
        <w:t xml:space="preserve"> </w:t>
      </w:r>
      <w:r>
        <w:t>records</w:t>
      </w:r>
      <w:r>
        <w:rPr>
          <w:spacing w:val="-3"/>
        </w:rPr>
        <w:t xml:space="preserve"> </w:t>
      </w:r>
      <w:r>
        <w:t>with</w:t>
      </w:r>
      <w:r>
        <w:rPr>
          <w:spacing w:val="-3"/>
        </w:rPr>
        <w:t xml:space="preserve"> </w:t>
      </w:r>
      <w:r>
        <w:t>one retention</w:t>
      </w:r>
      <w:r>
        <w:rPr>
          <w:spacing w:val="-2"/>
        </w:rPr>
        <w:t xml:space="preserve"> </w:t>
      </w:r>
      <w:r>
        <w:t>period are combined</w:t>
      </w:r>
      <w:r>
        <w:rPr>
          <w:spacing w:val="-2"/>
        </w:rPr>
        <w:t xml:space="preserve"> </w:t>
      </w:r>
      <w:r>
        <w:t>with</w:t>
      </w:r>
      <w:r>
        <w:rPr>
          <w:spacing w:val="-2"/>
        </w:rPr>
        <w:t xml:space="preserve"> </w:t>
      </w:r>
      <w:r>
        <w:t>and</w:t>
      </w:r>
      <w:r>
        <w:rPr>
          <w:spacing w:val="-1"/>
        </w:rPr>
        <w:t xml:space="preserve"> </w:t>
      </w:r>
      <w:r>
        <w:t>cannot</w:t>
      </w:r>
      <w:r>
        <w:rPr>
          <w:spacing w:val="-1"/>
        </w:rPr>
        <w:t xml:space="preserve"> </w:t>
      </w:r>
      <w:r>
        <w:t>be</w:t>
      </w:r>
      <w:r>
        <w:rPr>
          <w:spacing w:val="-3"/>
        </w:rPr>
        <w:t xml:space="preserve"> </w:t>
      </w:r>
      <w:r>
        <w:lastRenderedPageBreak/>
        <w:t>separated</w:t>
      </w:r>
      <w:r>
        <w:rPr>
          <w:spacing w:val="-1"/>
        </w:rPr>
        <w:t xml:space="preserve"> </w:t>
      </w:r>
      <w:r>
        <w:t>from</w:t>
      </w:r>
      <w:r>
        <w:rPr>
          <w:spacing w:val="-26"/>
        </w:rPr>
        <w:t xml:space="preserve"> </w:t>
      </w:r>
      <w:r>
        <w:t>records having a longer retention period, such records should be retained for the longer of</w:t>
      </w:r>
      <w:r>
        <w:rPr>
          <w:spacing w:val="-4"/>
        </w:rPr>
        <w:t xml:space="preserve"> </w:t>
      </w:r>
      <w:r>
        <w:t>the</w:t>
      </w:r>
      <w:r w:rsidR="00AF5E63">
        <w:t xml:space="preserve"> </w:t>
      </w:r>
      <w:r>
        <w:t>periods.</w:t>
      </w:r>
    </w:p>
    <w:p w14:paraId="1FEA81A0" w14:textId="77777777" w:rsidR="00762089" w:rsidRDefault="00762089" w:rsidP="00762089">
      <w:pPr>
        <w:pStyle w:val="ListParagraph"/>
        <w:widowControl w:val="0"/>
        <w:numPr>
          <w:ilvl w:val="0"/>
          <w:numId w:val="10"/>
        </w:numPr>
        <w:tabs>
          <w:tab w:val="left" w:pos="921"/>
        </w:tabs>
        <w:autoSpaceDE w:val="0"/>
        <w:autoSpaceDN w:val="0"/>
        <w:spacing w:after="0" w:line="240" w:lineRule="auto"/>
        <w:contextualSpacing w:val="0"/>
      </w:pPr>
      <w:r>
        <w:t>Required Retention</w:t>
      </w:r>
      <w:r>
        <w:rPr>
          <w:spacing w:val="-7"/>
        </w:rPr>
        <w:t xml:space="preserve"> </w:t>
      </w:r>
      <w:r>
        <w:t>Periods</w:t>
      </w:r>
    </w:p>
    <w:p w14:paraId="027B8E80" w14:textId="1249A3AF" w:rsidR="00762089" w:rsidRDefault="00762089" w:rsidP="00762089">
      <w:pPr>
        <w:pStyle w:val="ListParagraph"/>
        <w:widowControl w:val="0"/>
        <w:numPr>
          <w:ilvl w:val="1"/>
          <w:numId w:val="10"/>
        </w:numPr>
        <w:tabs>
          <w:tab w:val="left" w:pos="1641"/>
        </w:tabs>
        <w:autoSpaceDE w:val="0"/>
        <w:autoSpaceDN w:val="0"/>
        <w:spacing w:before="51" w:after="0" w:line="288" w:lineRule="auto"/>
        <w:ind w:right="347"/>
        <w:contextualSpacing w:val="0"/>
      </w:pPr>
      <w:r>
        <w:t>All</w:t>
      </w:r>
      <w:r>
        <w:rPr>
          <w:spacing w:val="-2"/>
        </w:rPr>
        <w:t xml:space="preserve"> </w:t>
      </w:r>
      <w:r>
        <w:t>financial,</w:t>
      </w:r>
      <w:r>
        <w:rPr>
          <w:spacing w:val="-2"/>
        </w:rPr>
        <w:t xml:space="preserve"> </w:t>
      </w:r>
      <w:r>
        <w:t>statistical,</w:t>
      </w:r>
      <w:r>
        <w:rPr>
          <w:spacing w:val="-1"/>
        </w:rPr>
        <w:t xml:space="preserve"> </w:t>
      </w:r>
      <w:r>
        <w:t>property,</w:t>
      </w:r>
      <w:r>
        <w:rPr>
          <w:spacing w:val="-4"/>
        </w:rPr>
        <w:t xml:space="preserve"> </w:t>
      </w:r>
      <w:r>
        <w:t>applicant</w:t>
      </w:r>
      <w:r>
        <w:rPr>
          <w:spacing w:val="-1"/>
        </w:rPr>
        <w:t xml:space="preserve"> </w:t>
      </w:r>
      <w:r>
        <w:t>and</w:t>
      </w:r>
      <w:r>
        <w:rPr>
          <w:spacing w:val="-3"/>
        </w:rPr>
        <w:t xml:space="preserve"> </w:t>
      </w:r>
      <w:r>
        <w:t>participant</w:t>
      </w:r>
      <w:r>
        <w:rPr>
          <w:spacing w:val="-1"/>
        </w:rPr>
        <w:t xml:space="preserve"> </w:t>
      </w:r>
      <w:r>
        <w:t>records</w:t>
      </w:r>
      <w:r>
        <w:rPr>
          <w:spacing w:val="-2"/>
        </w:rPr>
        <w:t xml:space="preserve"> </w:t>
      </w:r>
      <w:r>
        <w:t>and</w:t>
      </w:r>
      <w:r>
        <w:rPr>
          <w:spacing w:val="-2"/>
        </w:rPr>
        <w:t xml:space="preserve"> </w:t>
      </w:r>
      <w:r>
        <w:t>supporting</w:t>
      </w:r>
      <w:r>
        <w:rPr>
          <w:spacing w:val="-3"/>
        </w:rPr>
        <w:t xml:space="preserve"> </w:t>
      </w:r>
      <w:r>
        <w:t>documentation</w:t>
      </w:r>
      <w:r>
        <w:rPr>
          <w:spacing w:val="-26"/>
        </w:rPr>
        <w:t xml:space="preserve"> </w:t>
      </w:r>
      <w:r>
        <w:t xml:space="preserve">must be retained by the service provider for a period of at least three (3) years subsequent to the </w:t>
      </w:r>
      <w:r>
        <w:rPr>
          <w:spacing w:val="2"/>
        </w:rPr>
        <w:t>date</w:t>
      </w:r>
      <w:r w:rsidR="00AF5E63">
        <w:rPr>
          <w:spacing w:val="2"/>
        </w:rPr>
        <w:t xml:space="preserve"> </w:t>
      </w:r>
      <w:r>
        <w:rPr>
          <w:spacing w:val="2"/>
        </w:rPr>
        <w:t xml:space="preserve">of </w:t>
      </w:r>
      <w:r>
        <w:t xml:space="preserve">submission of final grant expenditure report, close-out package or the date all audits are complete and findings/all claims have been resolved, whichever occurs last. For participant records, this shall typically mean if a participant exits the program on 3/15/17, the </w:t>
      </w:r>
      <w:r w:rsidR="00AF5E63">
        <w:t>three-year</w:t>
      </w:r>
      <w:r>
        <w:t xml:space="preserve"> period for record retention will start on 7/1/2017 (not</w:t>
      </w:r>
      <w:r>
        <w:rPr>
          <w:spacing w:val="-12"/>
        </w:rPr>
        <w:t xml:space="preserve"> </w:t>
      </w:r>
      <w:r>
        <w:t>3/15/17).</w:t>
      </w:r>
    </w:p>
    <w:p w14:paraId="591680E4" w14:textId="2E1938CE" w:rsidR="00762089" w:rsidRDefault="00762089" w:rsidP="00762089">
      <w:pPr>
        <w:pStyle w:val="ListParagraph"/>
        <w:widowControl w:val="0"/>
        <w:numPr>
          <w:ilvl w:val="1"/>
          <w:numId w:val="10"/>
        </w:numPr>
        <w:tabs>
          <w:tab w:val="left" w:pos="1641"/>
        </w:tabs>
        <w:autoSpaceDE w:val="0"/>
        <w:autoSpaceDN w:val="0"/>
        <w:spacing w:after="0" w:line="288" w:lineRule="auto"/>
        <w:ind w:right="468"/>
        <w:contextualSpacing w:val="0"/>
      </w:pPr>
      <w:r>
        <w:t>If any litigation, claim, or audit is started before the expiration of the three-year period, the</w:t>
      </w:r>
      <w:r w:rsidR="00AF5E63">
        <w:t xml:space="preserve"> </w:t>
      </w:r>
      <w:r>
        <w:t>associated records must be retained until such litigation, claims or audit findings have been resolved and final action</w:t>
      </w:r>
      <w:r>
        <w:rPr>
          <w:spacing w:val="-5"/>
        </w:rPr>
        <w:t xml:space="preserve"> </w:t>
      </w:r>
      <w:r>
        <w:t>taken.</w:t>
      </w:r>
    </w:p>
    <w:p w14:paraId="4F5B941B" w14:textId="77777777" w:rsidR="00762089" w:rsidRDefault="00762089" w:rsidP="00762089">
      <w:pPr>
        <w:pStyle w:val="ListParagraph"/>
        <w:widowControl w:val="0"/>
        <w:numPr>
          <w:ilvl w:val="1"/>
          <w:numId w:val="10"/>
        </w:numPr>
        <w:tabs>
          <w:tab w:val="left" w:pos="1640"/>
          <w:tab w:val="left" w:pos="1641"/>
        </w:tabs>
        <w:autoSpaceDE w:val="0"/>
        <w:autoSpaceDN w:val="0"/>
        <w:spacing w:before="1" w:after="0" w:line="290" w:lineRule="auto"/>
        <w:ind w:right="709"/>
        <w:contextualSpacing w:val="0"/>
      </w:pPr>
      <w:r>
        <w:t>Records documenting real property and equipment acquired with WIOA funds must be retained for three years after the final</w:t>
      </w:r>
      <w:r>
        <w:rPr>
          <w:spacing w:val="-14"/>
        </w:rPr>
        <w:t xml:space="preserve"> </w:t>
      </w:r>
      <w:r>
        <w:t>disposition.</w:t>
      </w:r>
    </w:p>
    <w:p w14:paraId="074DA229" w14:textId="77777777" w:rsidR="00762089" w:rsidRDefault="00762089" w:rsidP="00762089">
      <w:pPr>
        <w:pStyle w:val="ListParagraph"/>
        <w:widowControl w:val="0"/>
        <w:numPr>
          <w:ilvl w:val="0"/>
          <w:numId w:val="10"/>
        </w:numPr>
        <w:tabs>
          <w:tab w:val="left" w:pos="921"/>
        </w:tabs>
        <w:autoSpaceDE w:val="0"/>
        <w:autoSpaceDN w:val="0"/>
        <w:spacing w:before="1" w:after="0" w:line="240" w:lineRule="auto"/>
        <w:contextualSpacing w:val="0"/>
      </w:pPr>
      <w:r>
        <w:t>Miscellaneous</w:t>
      </w:r>
      <w:r>
        <w:rPr>
          <w:spacing w:val="-5"/>
        </w:rPr>
        <w:t xml:space="preserve"> </w:t>
      </w:r>
      <w:r>
        <w:t>Provisions</w:t>
      </w:r>
    </w:p>
    <w:p w14:paraId="4852A3E9" w14:textId="77777777" w:rsidR="00762089" w:rsidRDefault="00762089" w:rsidP="00762089">
      <w:pPr>
        <w:pStyle w:val="ListParagraph"/>
        <w:widowControl w:val="0"/>
        <w:numPr>
          <w:ilvl w:val="1"/>
          <w:numId w:val="10"/>
        </w:numPr>
        <w:tabs>
          <w:tab w:val="left" w:pos="1641"/>
        </w:tabs>
        <w:autoSpaceDE w:val="0"/>
        <w:autoSpaceDN w:val="0"/>
        <w:spacing w:before="48" w:after="0" w:line="290" w:lineRule="auto"/>
        <w:ind w:right="265"/>
        <w:contextualSpacing w:val="0"/>
      </w:pPr>
      <w:r>
        <w:t>Logs</w:t>
      </w:r>
      <w:r>
        <w:rPr>
          <w:spacing w:val="-4"/>
        </w:rPr>
        <w:t xml:space="preserve"> </w:t>
      </w:r>
      <w:r>
        <w:t>shall</w:t>
      </w:r>
      <w:r>
        <w:rPr>
          <w:spacing w:val="-2"/>
        </w:rPr>
        <w:t xml:space="preserve"> </w:t>
      </w:r>
      <w:r>
        <w:t>be</w:t>
      </w:r>
      <w:r>
        <w:rPr>
          <w:spacing w:val="-3"/>
        </w:rPr>
        <w:t xml:space="preserve"> </w:t>
      </w:r>
      <w:r>
        <w:t>maintained</w:t>
      </w:r>
      <w:r>
        <w:rPr>
          <w:spacing w:val="-1"/>
        </w:rPr>
        <w:t xml:space="preserve"> </w:t>
      </w:r>
      <w:r>
        <w:t>by</w:t>
      </w:r>
      <w:r>
        <w:rPr>
          <w:spacing w:val="-2"/>
        </w:rPr>
        <w:t xml:space="preserve"> </w:t>
      </w:r>
      <w:r>
        <w:t>service providers</w:t>
      </w:r>
      <w:r>
        <w:rPr>
          <w:spacing w:val="-3"/>
        </w:rPr>
        <w:t xml:space="preserve"> </w:t>
      </w:r>
      <w:r>
        <w:t>indicating</w:t>
      </w:r>
      <w:r>
        <w:rPr>
          <w:spacing w:val="-2"/>
        </w:rPr>
        <w:t xml:space="preserve"> </w:t>
      </w:r>
      <w:r>
        <w:t>the</w:t>
      </w:r>
      <w:r>
        <w:rPr>
          <w:spacing w:val="-1"/>
        </w:rPr>
        <w:t xml:space="preserve"> </w:t>
      </w:r>
      <w:r>
        <w:t>records</w:t>
      </w:r>
      <w:r>
        <w:rPr>
          <w:spacing w:val="-3"/>
        </w:rPr>
        <w:t xml:space="preserve"> </w:t>
      </w:r>
      <w:r>
        <w:t>that</w:t>
      </w:r>
      <w:r>
        <w:rPr>
          <w:spacing w:val="-1"/>
        </w:rPr>
        <w:t xml:space="preserve"> </w:t>
      </w:r>
      <w:r>
        <w:t>are retained,</w:t>
      </w:r>
      <w:r>
        <w:rPr>
          <w:spacing w:val="-2"/>
        </w:rPr>
        <w:t xml:space="preserve"> </w:t>
      </w:r>
      <w:r>
        <w:t>in</w:t>
      </w:r>
      <w:r>
        <w:rPr>
          <w:spacing w:val="-2"/>
        </w:rPr>
        <w:t xml:space="preserve"> </w:t>
      </w:r>
      <w:r>
        <w:t>what</w:t>
      </w:r>
      <w:r>
        <w:rPr>
          <w:spacing w:val="-24"/>
        </w:rPr>
        <w:t xml:space="preserve"> </w:t>
      </w:r>
      <w:r>
        <w:t>location(s) and the record destruction</w:t>
      </w:r>
      <w:r>
        <w:rPr>
          <w:spacing w:val="-7"/>
        </w:rPr>
        <w:t xml:space="preserve"> </w:t>
      </w:r>
      <w:r>
        <w:t>dates.</w:t>
      </w:r>
    </w:p>
    <w:p w14:paraId="2566F125" w14:textId="77777777" w:rsidR="00762089" w:rsidRDefault="00762089" w:rsidP="00762089">
      <w:pPr>
        <w:pStyle w:val="ListParagraph"/>
        <w:widowControl w:val="0"/>
        <w:numPr>
          <w:ilvl w:val="1"/>
          <w:numId w:val="10"/>
        </w:numPr>
        <w:tabs>
          <w:tab w:val="left" w:pos="1641"/>
        </w:tabs>
        <w:autoSpaceDE w:val="0"/>
        <w:autoSpaceDN w:val="0"/>
        <w:spacing w:after="0" w:line="290" w:lineRule="auto"/>
        <w:ind w:right="1043"/>
        <w:contextualSpacing w:val="0"/>
      </w:pPr>
      <w:r>
        <w:t>Should a service provider determine it is unable to retain records as required; the WDB must be notified so that alternate arrangements can be</w:t>
      </w:r>
      <w:r>
        <w:rPr>
          <w:spacing w:val="-10"/>
        </w:rPr>
        <w:t xml:space="preserve"> </w:t>
      </w:r>
      <w:r>
        <w:t>made.</w:t>
      </w:r>
    </w:p>
    <w:p w14:paraId="793DE790" w14:textId="77777777" w:rsidR="00762089" w:rsidRDefault="00762089" w:rsidP="00762089">
      <w:pPr>
        <w:pStyle w:val="ListParagraph"/>
        <w:widowControl w:val="0"/>
        <w:numPr>
          <w:ilvl w:val="1"/>
          <w:numId w:val="10"/>
        </w:numPr>
        <w:tabs>
          <w:tab w:val="left" w:pos="1640"/>
          <w:tab w:val="left" w:pos="1641"/>
        </w:tabs>
        <w:autoSpaceDE w:val="0"/>
        <w:autoSpaceDN w:val="0"/>
        <w:spacing w:after="0" w:line="288" w:lineRule="auto"/>
        <w:ind w:right="504"/>
        <w:contextualSpacing w:val="0"/>
      </w:pPr>
      <w:r>
        <w:t>If</w:t>
      </w:r>
      <w:r>
        <w:rPr>
          <w:spacing w:val="-2"/>
        </w:rPr>
        <w:t xml:space="preserve"> </w:t>
      </w:r>
      <w:r>
        <w:t>there</w:t>
      </w:r>
      <w:r>
        <w:rPr>
          <w:spacing w:val="-1"/>
        </w:rPr>
        <w:t xml:space="preserve"> </w:t>
      </w:r>
      <w:r>
        <w:t>is</w:t>
      </w:r>
      <w:r>
        <w:rPr>
          <w:spacing w:val="-1"/>
        </w:rPr>
        <w:t xml:space="preserve"> </w:t>
      </w:r>
      <w:r>
        <w:t>a</w:t>
      </w:r>
      <w:r>
        <w:rPr>
          <w:spacing w:val="-1"/>
        </w:rPr>
        <w:t xml:space="preserve"> </w:t>
      </w:r>
      <w:r>
        <w:t>change</w:t>
      </w:r>
      <w:r>
        <w:rPr>
          <w:spacing w:val="-3"/>
        </w:rPr>
        <w:t xml:space="preserve"> </w:t>
      </w:r>
      <w:r>
        <w:t>in</w:t>
      </w:r>
      <w:r>
        <w:rPr>
          <w:spacing w:val="-1"/>
        </w:rPr>
        <w:t xml:space="preserve"> </w:t>
      </w:r>
      <w:r>
        <w:t>service provider</w:t>
      </w:r>
      <w:r>
        <w:rPr>
          <w:spacing w:val="-3"/>
        </w:rPr>
        <w:t xml:space="preserve"> </w:t>
      </w:r>
      <w:r>
        <w:t>arrangements,</w:t>
      </w:r>
      <w:r>
        <w:rPr>
          <w:spacing w:val="-5"/>
        </w:rPr>
        <w:t xml:space="preserve"> </w:t>
      </w:r>
      <w:r>
        <w:t>original</w:t>
      </w:r>
      <w:r>
        <w:rPr>
          <w:spacing w:val="-1"/>
        </w:rPr>
        <w:t xml:space="preserve"> </w:t>
      </w:r>
      <w:r>
        <w:t>files</w:t>
      </w:r>
      <w:r>
        <w:rPr>
          <w:spacing w:val="-2"/>
        </w:rPr>
        <w:t xml:space="preserve"> </w:t>
      </w:r>
      <w:r>
        <w:t>must</w:t>
      </w:r>
      <w:r>
        <w:rPr>
          <w:spacing w:val="-3"/>
        </w:rPr>
        <w:t xml:space="preserve"> </w:t>
      </w:r>
      <w:r>
        <w:t>be</w:t>
      </w:r>
      <w:r>
        <w:rPr>
          <w:spacing w:val="-1"/>
        </w:rPr>
        <w:t xml:space="preserve"> </w:t>
      </w:r>
      <w:r>
        <w:t>transferred</w:t>
      </w:r>
      <w:r>
        <w:rPr>
          <w:spacing w:val="-1"/>
        </w:rPr>
        <w:t xml:space="preserve"> </w:t>
      </w:r>
      <w:r>
        <w:t>to the</w:t>
      </w:r>
      <w:r>
        <w:rPr>
          <w:spacing w:val="2"/>
        </w:rPr>
        <w:t xml:space="preserve"> </w:t>
      </w:r>
      <w:r>
        <w:t>entity</w:t>
      </w:r>
      <w:r>
        <w:rPr>
          <w:spacing w:val="-31"/>
        </w:rPr>
        <w:t xml:space="preserve"> </w:t>
      </w:r>
      <w:r>
        <w:t>as designated by the WDB. Such records must be transmitted within the time frame directed by the WDB, and for acceptance of the new service provider in an orderly fashion with documents properly labeled and filed in good condition for use and/or</w:t>
      </w:r>
      <w:r>
        <w:rPr>
          <w:spacing w:val="-20"/>
        </w:rPr>
        <w:t xml:space="preserve"> </w:t>
      </w:r>
      <w:r>
        <w:t>storage.</w:t>
      </w:r>
    </w:p>
    <w:p w14:paraId="56E97852" w14:textId="77777777" w:rsidR="00762089" w:rsidRDefault="00762089" w:rsidP="00762089">
      <w:pPr>
        <w:pStyle w:val="ListParagraph"/>
        <w:widowControl w:val="0"/>
        <w:numPr>
          <w:ilvl w:val="1"/>
          <w:numId w:val="10"/>
        </w:numPr>
        <w:tabs>
          <w:tab w:val="left" w:pos="1641"/>
        </w:tabs>
        <w:autoSpaceDE w:val="0"/>
        <w:autoSpaceDN w:val="0"/>
        <w:spacing w:after="0" w:line="288" w:lineRule="auto"/>
        <w:ind w:right="327"/>
        <w:contextualSpacing w:val="0"/>
        <w:jc w:val="both"/>
      </w:pPr>
      <w:r>
        <w:t>At</w:t>
      </w:r>
      <w:r>
        <w:rPr>
          <w:spacing w:val="-2"/>
        </w:rPr>
        <w:t xml:space="preserve"> </w:t>
      </w:r>
      <w:r>
        <w:t>the</w:t>
      </w:r>
      <w:r>
        <w:rPr>
          <w:spacing w:val="-3"/>
        </w:rPr>
        <w:t xml:space="preserve"> </w:t>
      </w:r>
      <w:r>
        <w:t>end</w:t>
      </w:r>
      <w:r>
        <w:rPr>
          <w:spacing w:val="-2"/>
        </w:rPr>
        <w:t xml:space="preserve"> </w:t>
      </w:r>
      <w:r>
        <w:t>of</w:t>
      </w:r>
      <w:r>
        <w:rPr>
          <w:spacing w:val="-4"/>
        </w:rPr>
        <w:t xml:space="preserve"> </w:t>
      </w:r>
      <w:r>
        <w:t>the retention</w:t>
      </w:r>
      <w:r>
        <w:rPr>
          <w:spacing w:val="-5"/>
        </w:rPr>
        <w:t xml:space="preserve"> </w:t>
      </w:r>
      <w:r>
        <w:t>period,</w:t>
      </w:r>
      <w:r>
        <w:rPr>
          <w:spacing w:val="-2"/>
        </w:rPr>
        <w:t xml:space="preserve"> </w:t>
      </w:r>
      <w:r>
        <w:t>records</w:t>
      </w:r>
      <w:r>
        <w:rPr>
          <w:spacing w:val="-3"/>
        </w:rPr>
        <w:t xml:space="preserve"> </w:t>
      </w:r>
      <w:r>
        <w:t>must be destroyed</w:t>
      </w:r>
      <w:r>
        <w:rPr>
          <w:spacing w:val="-4"/>
        </w:rPr>
        <w:t xml:space="preserve"> </w:t>
      </w:r>
      <w:r>
        <w:t>by</w:t>
      </w:r>
      <w:r>
        <w:rPr>
          <w:spacing w:val="-2"/>
        </w:rPr>
        <w:t xml:space="preserve"> </w:t>
      </w:r>
      <w:r>
        <w:t>the service provider.</w:t>
      </w:r>
      <w:r>
        <w:rPr>
          <w:spacing w:val="-3"/>
        </w:rPr>
        <w:t xml:space="preserve"> </w:t>
      </w:r>
      <w:r>
        <w:t>Prior</w:t>
      </w:r>
      <w:r>
        <w:rPr>
          <w:spacing w:val="-3"/>
        </w:rPr>
        <w:t xml:space="preserve"> </w:t>
      </w:r>
      <w:r>
        <w:t>notice</w:t>
      </w:r>
      <w:r>
        <w:rPr>
          <w:spacing w:val="-28"/>
        </w:rPr>
        <w:t xml:space="preserve"> </w:t>
      </w:r>
      <w:r>
        <w:t>must be given</w:t>
      </w:r>
      <w:r>
        <w:rPr>
          <w:spacing w:val="-3"/>
        </w:rPr>
        <w:t xml:space="preserve"> </w:t>
      </w:r>
      <w:r>
        <w:t>to</w:t>
      </w:r>
      <w:r>
        <w:rPr>
          <w:spacing w:val="-1"/>
        </w:rPr>
        <w:t xml:space="preserve"> </w:t>
      </w:r>
      <w:r>
        <w:t>the</w:t>
      </w:r>
      <w:r>
        <w:rPr>
          <w:spacing w:val="-2"/>
        </w:rPr>
        <w:t xml:space="preserve"> </w:t>
      </w:r>
      <w:r>
        <w:t>WDB director,</w:t>
      </w:r>
      <w:r>
        <w:rPr>
          <w:spacing w:val="-3"/>
        </w:rPr>
        <w:t xml:space="preserve"> </w:t>
      </w:r>
      <w:r>
        <w:t>who</w:t>
      </w:r>
      <w:r>
        <w:rPr>
          <w:spacing w:val="1"/>
        </w:rPr>
        <w:t xml:space="preserve"> </w:t>
      </w:r>
      <w:r>
        <w:t>shall</w:t>
      </w:r>
      <w:r>
        <w:rPr>
          <w:spacing w:val="-3"/>
        </w:rPr>
        <w:t xml:space="preserve"> </w:t>
      </w:r>
      <w:r>
        <w:t>be provided</w:t>
      </w:r>
      <w:r>
        <w:rPr>
          <w:spacing w:val="-3"/>
        </w:rPr>
        <w:t xml:space="preserve"> </w:t>
      </w:r>
      <w:r>
        <w:t>a</w:t>
      </w:r>
      <w:r>
        <w:rPr>
          <w:spacing w:val="-3"/>
        </w:rPr>
        <w:t xml:space="preserve"> </w:t>
      </w:r>
      <w:r>
        <w:t>list</w:t>
      </w:r>
      <w:r>
        <w:rPr>
          <w:spacing w:val="-2"/>
        </w:rPr>
        <w:t xml:space="preserve"> </w:t>
      </w:r>
      <w:r>
        <w:t>of records</w:t>
      </w:r>
      <w:r>
        <w:rPr>
          <w:spacing w:val="-2"/>
        </w:rPr>
        <w:t xml:space="preserve"> </w:t>
      </w:r>
      <w:r>
        <w:t>to</w:t>
      </w:r>
      <w:r>
        <w:rPr>
          <w:spacing w:val="-1"/>
        </w:rPr>
        <w:t xml:space="preserve"> </w:t>
      </w:r>
      <w:r>
        <w:t>be destroyed</w:t>
      </w:r>
      <w:r>
        <w:rPr>
          <w:spacing w:val="-1"/>
        </w:rPr>
        <w:t xml:space="preserve"> </w:t>
      </w:r>
      <w:r>
        <w:t>and</w:t>
      </w:r>
      <w:r>
        <w:rPr>
          <w:spacing w:val="-2"/>
        </w:rPr>
        <w:t xml:space="preserve"> </w:t>
      </w:r>
      <w:r>
        <w:t>the</w:t>
      </w:r>
      <w:r>
        <w:rPr>
          <w:spacing w:val="-2"/>
        </w:rPr>
        <w:t xml:space="preserve"> </w:t>
      </w:r>
      <w:r>
        <w:t>manner</w:t>
      </w:r>
      <w:r>
        <w:rPr>
          <w:spacing w:val="-27"/>
        </w:rPr>
        <w:t xml:space="preserve"> </w:t>
      </w:r>
      <w:r>
        <w:t>of destruction to be</w:t>
      </w:r>
      <w:r>
        <w:rPr>
          <w:spacing w:val="-5"/>
        </w:rPr>
        <w:t xml:space="preserve"> </w:t>
      </w:r>
      <w:r>
        <w:t>used.</w:t>
      </w:r>
    </w:p>
    <w:p w14:paraId="55B9C91D" w14:textId="79AD5DB5" w:rsidR="00762089" w:rsidRDefault="00762089" w:rsidP="00762089">
      <w:pPr>
        <w:pStyle w:val="ListParagraph"/>
        <w:widowControl w:val="0"/>
        <w:numPr>
          <w:ilvl w:val="1"/>
          <w:numId w:val="10"/>
        </w:numPr>
        <w:tabs>
          <w:tab w:val="left" w:pos="1641"/>
        </w:tabs>
        <w:autoSpaceDE w:val="0"/>
        <w:autoSpaceDN w:val="0"/>
        <w:spacing w:after="0" w:line="290" w:lineRule="auto"/>
        <w:ind w:right="685"/>
        <w:contextualSpacing w:val="0"/>
        <w:jc w:val="both"/>
      </w:pPr>
      <w:r>
        <w:t>All WIOA records maintained by service providers must be made available to authorized WDB, state and federal representative with oversight or regulatory authority during normal business</w:t>
      </w:r>
      <w:r>
        <w:rPr>
          <w:spacing w:val="-27"/>
        </w:rPr>
        <w:t xml:space="preserve"> </w:t>
      </w:r>
      <w:r>
        <w:t>hours.</w:t>
      </w:r>
    </w:p>
    <w:p w14:paraId="0AF0EF2E" w14:textId="58146617" w:rsidR="00AD7F28" w:rsidRDefault="00AD7F28" w:rsidP="00AD7F28">
      <w:pPr>
        <w:pStyle w:val="ListParagraph"/>
        <w:widowControl w:val="0"/>
        <w:tabs>
          <w:tab w:val="left" w:pos="1641"/>
        </w:tabs>
        <w:autoSpaceDE w:val="0"/>
        <w:autoSpaceDN w:val="0"/>
        <w:spacing w:after="0" w:line="290" w:lineRule="auto"/>
        <w:ind w:left="1640" w:right="685"/>
        <w:contextualSpacing w:val="0"/>
      </w:pPr>
    </w:p>
    <w:p w14:paraId="219D6AE8" w14:textId="2F1B04FF" w:rsidR="00AD7F28" w:rsidRDefault="00AD7F28" w:rsidP="00AD7F28">
      <w:pPr>
        <w:pStyle w:val="ListParagraph"/>
        <w:widowControl w:val="0"/>
        <w:tabs>
          <w:tab w:val="left" w:pos="1641"/>
        </w:tabs>
        <w:autoSpaceDE w:val="0"/>
        <w:autoSpaceDN w:val="0"/>
        <w:spacing w:after="0" w:line="290" w:lineRule="auto"/>
        <w:ind w:left="1640" w:right="685"/>
        <w:contextualSpacing w:val="0"/>
      </w:pPr>
    </w:p>
    <w:p w14:paraId="7B66EBCA" w14:textId="77777777" w:rsidR="00AD7F28" w:rsidRPr="005F64D1" w:rsidRDefault="00AD7F28" w:rsidP="00AD7F28">
      <w:pPr>
        <w:spacing w:line="240" w:lineRule="auto"/>
        <w:rPr>
          <w:rFonts w:ascii="Arial Narrow" w:hAnsi="Arial Narrow" w:cs="Times New Roman"/>
          <w:bCs/>
          <w:sz w:val="24"/>
          <w:szCs w:val="24"/>
        </w:rPr>
      </w:pPr>
      <w:r w:rsidRPr="005F64D1">
        <w:rPr>
          <w:rFonts w:ascii="Arial Narrow" w:hAnsi="Arial Narrow" w:cs="Times New Roman"/>
          <w:bCs/>
          <w:sz w:val="24"/>
          <w:szCs w:val="24"/>
        </w:rPr>
        <w:t>Signature of Executive Director: __________________________</w:t>
      </w:r>
      <w:r>
        <w:rPr>
          <w:rFonts w:ascii="Arial Narrow" w:hAnsi="Arial Narrow" w:cs="Times New Roman"/>
          <w:bCs/>
          <w:sz w:val="24"/>
          <w:szCs w:val="24"/>
        </w:rPr>
        <w:t>______________</w:t>
      </w:r>
      <w:r w:rsidRPr="005F64D1">
        <w:rPr>
          <w:rFonts w:ascii="Arial Narrow" w:hAnsi="Arial Narrow" w:cs="Times New Roman"/>
          <w:bCs/>
          <w:sz w:val="24"/>
          <w:szCs w:val="24"/>
        </w:rPr>
        <w:t>__ Date: ____________</w:t>
      </w:r>
    </w:p>
    <w:p w14:paraId="3A9B85C0" w14:textId="77777777" w:rsidR="00AD7F28" w:rsidRDefault="00AD7F28" w:rsidP="00AD7F28">
      <w:pPr>
        <w:pStyle w:val="ListParagraph"/>
        <w:widowControl w:val="0"/>
        <w:tabs>
          <w:tab w:val="left" w:pos="1641"/>
        </w:tabs>
        <w:autoSpaceDE w:val="0"/>
        <w:autoSpaceDN w:val="0"/>
        <w:spacing w:after="0" w:line="290" w:lineRule="auto"/>
        <w:ind w:left="1640" w:right="685"/>
        <w:contextualSpacing w:val="0"/>
      </w:pPr>
    </w:p>
    <w:sectPr w:rsidR="00AD7F28">
      <w:headerReference w:type="even"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7723" w14:textId="77777777" w:rsidR="00013139" w:rsidRDefault="00013139" w:rsidP="00E636A7">
      <w:pPr>
        <w:spacing w:after="0" w:line="240" w:lineRule="auto"/>
      </w:pPr>
      <w:r>
        <w:separator/>
      </w:r>
    </w:p>
  </w:endnote>
  <w:endnote w:type="continuationSeparator" w:id="0">
    <w:p w14:paraId="2DDA074D" w14:textId="77777777" w:rsidR="00013139" w:rsidRDefault="00013139" w:rsidP="00E6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5300" w14:textId="77777777" w:rsidR="00AB15DB" w:rsidRDefault="00AB15DB">
    <w:pPr>
      <w:pStyle w:val="Footer"/>
    </w:pPr>
  </w:p>
  <w:p w14:paraId="11C110BA" w14:textId="77777777" w:rsidR="00AE7099" w:rsidRDefault="00AE70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662280"/>
      <w:docPartObj>
        <w:docPartGallery w:val="Page Numbers (Bottom of Page)"/>
        <w:docPartUnique/>
      </w:docPartObj>
    </w:sdtPr>
    <w:sdtEndPr>
      <w:rPr>
        <w:noProof/>
      </w:rPr>
    </w:sdtEndPr>
    <w:sdtContent>
      <w:p w14:paraId="7F3E9BF6" w14:textId="27E9D745" w:rsidR="00963012" w:rsidRDefault="00963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9084A" w14:textId="77777777" w:rsidR="00AE7099" w:rsidRDefault="00AE7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FB97" w14:textId="77777777" w:rsidR="00013139" w:rsidRDefault="00013139" w:rsidP="00E636A7">
      <w:pPr>
        <w:spacing w:after="0" w:line="240" w:lineRule="auto"/>
      </w:pPr>
      <w:r>
        <w:separator/>
      </w:r>
    </w:p>
  </w:footnote>
  <w:footnote w:type="continuationSeparator" w:id="0">
    <w:p w14:paraId="176BCA66" w14:textId="77777777" w:rsidR="00013139" w:rsidRDefault="00013139" w:rsidP="00E63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AC50" w14:textId="77777777" w:rsidR="00AB15DB" w:rsidRDefault="00AB15DB">
    <w:pPr>
      <w:pStyle w:val="Header"/>
    </w:pPr>
  </w:p>
  <w:p w14:paraId="694D4231" w14:textId="77777777" w:rsidR="00AE7099" w:rsidRDefault="00AE7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B2F"/>
    <w:multiLevelType w:val="hybridMultilevel"/>
    <w:tmpl w:val="5D363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B51E1"/>
    <w:multiLevelType w:val="hybridMultilevel"/>
    <w:tmpl w:val="BF1E7872"/>
    <w:lvl w:ilvl="0" w:tplc="33F0E580">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E12880FC">
      <w:start w:val="1"/>
      <w:numFmt w:val="lowerLetter"/>
      <w:lvlText w:val="%2."/>
      <w:lvlJc w:val="left"/>
      <w:pPr>
        <w:ind w:left="1640" w:hanging="360"/>
        <w:jc w:val="left"/>
      </w:pPr>
      <w:rPr>
        <w:rFonts w:ascii="Calibri" w:eastAsia="Calibri" w:hAnsi="Calibri" w:cs="Calibri" w:hint="default"/>
        <w:spacing w:val="-1"/>
        <w:w w:val="100"/>
        <w:sz w:val="22"/>
        <w:szCs w:val="22"/>
        <w:lang w:val="en-US" w:eastAsia="en-US" w:bidi="ar-SA"/>
      </w:rPr>
    </w:lvl>
    <w:lvl w:ilvl="2" w:tplc="BFAE0C2E">
      <w:numFmt w:val="bullet"/>
      <w:lvlText w:val="•"/>
      <w:lvlJc w:val="left"/>
      <w:pPr>
        <w:ind w:left="2706" w:hanging="360"/>
      </w:pPr>
      <w:rPr>
        <w:rFonts w:hint="default"/>
        <w:lang w:val="en-US" w:eastAsia="en-US" w:bidi="ar-SA"/>
      </w:rPr>
    </w:lvl>
    <w:lvl w:ilvl="3" w:tplc="A776FF94">
      <w:numFmt w:val="bullet"/>
      <w:lvlText w:val="•"/>
      <w:lvlJc w:val="left"/>
      <w:pPr>
        <w:ind w:left="3773" w:hanging="360"/>
      </w:pPr>
      <w:rPr>
        <w:rFonts w:hint="default"/>
        <w:lang w:val="en-US" w:eastAsia="en-US" w:bidi="ar-SA"/>
      </w:rPr>
    </w:lvl>
    <w:lvl w:ilvl="4" w:tplc="59AA2F86">
      <w:numFmt w:val="bullet"/>
      <w:lvlText w:val="•"/>
      <w:lvlJc w:val="left"/>
      <w:pPr>
        <w:ind w:left="4840" w:hanging="360"/>
      </w:pPr>
      <w:rPr>
        <w:rFonts w:hint="default"/>
        <w:lang w:val="en-US" w:eastAsia="en-US" w:bidi="ar-SA"/>
      </w:rPr>
    </w:lvl>
    <w:lvl w:ilvl="5" w:tplc="AEB6090C">
      <w:numFmt w:val="bullet"/>
      <w:lvlText w:val="•"/>
      <w:lvlJc w:val="left"/>
      <w:pPr>
        <w:ind w:left="5906" w:hanging="360"/>
      </w:pPr>
      <w:rPr>
        <w:rFonts w:hint="default"/>
        <w:lang w:val="en-US" w:eastAsia="en-US" w:bidi="ar-SA"/>
      </w:rPr>
    </w:lvl>
    <w:lvl w:ilvl="6" w:tplc="7D1659E8">
      <w:numFmt w:val="bullet"/>
      <w:lvlText w:val="•"/>
      <w:lvlJc w:val="left"/>
      <w:pPr>
        <w:ind w:left="6973" w:hanging="360"/>
      </w:pPr>
      <w:rPr>
        <w:rFonts w:hint="default"/>
        <w:lang w:val="en-US" w:eastAsia="en-US" w:bidi="ar-SA"/>
      </w:rPr>
    </w:lvl>
    <w:lvl w:ilvl="7" w:tplc="B0485CD8">
      <w:numFmt w:val="bullet"/>
      <w:lvlText w:val="•"/>
      <w:lvlJc w:val="left"/>
      <w:pPr>
        <w:ind w:left="8040" w:hanging="360"/>
      </w:pPr>
      <w:rPr>
        <w:rFonts w:hint="default"/>
        <w:lang w:val="en-US" w:eastAsia="en-US" w:bidi="ar-SA"/>
      </w:rPr>
    </w:lvl>
    <w:lvl w:ilvl="8" w:tplc="3C0AC802">
      <w:numFmt w:val="bullet"/>
      <w:lvlText w:val="•"/>
      <w:lvlJc w:val="left"/>
      <w:pPr>
        <w:ind w:left="9106" w:hanging="360"/>
      </w:pPr>
      <w:rPr>
        <w:rFonts w:hint="default"/>
        <w:lang w:val="en-US" w:eastAsia="en-US" w:bidi="ar-SA"/>
      </w:rPr>
    </w:lvl>
  </w:abstractNum>
  <w:abstractNum w:abstractNumId="2" w15:restartNumberingAfterBreak="0">
    <w:nsid w:val="1ECC3F4B"/>
    <w:multiLevelType w:val="hybridMultilevel"/>
    <w:tmpl w:val="A620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92EA4"/>
    <w:multiLevelType w:val="hybridMultilevel"/>
    <w:tmpl w:val="F0F20C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0E76AB"/>
    <w:multiLevelType w:val="multilevel"/>
    <w:tmpl w:val="8650146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5" w15:restartNumberingAfterBreak="0">
    <w:nsid w:val="292477AD"/>
    <w:multiLevelType w:val="multilevel"/>
    <w:tmpl w:val="C55C09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15:restartNumberingAfterBreak="0">
    <w:nsid w:val="2A732D0E"/>
    <w:multiLevelType w:val="hybridMultilevel"/>
    <w:tmpl w:val="30F8EC34"/>
    <w:lvl w:ilvl="0" w:tplc="73261990">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7" w15:restartNumberingAfterBreak="0">
    <w:nsid w:val="2E650943"/>
    <w:multiLevelType w:val="hybridMultilevel"/>
    <w:tmpl w:val="1018C6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BD75931"/>
    <w:multiLevelType w:val="singleLevel"/>
    <w:tmpl w:val="D7D6B31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9" w15:restartNumberingAfterBreak="0">
    <w:nsid w:val="3EDD64CA"/>
    <w:multiLevelType w:val="hybridMultilevel"/>
    <w:tmpl w:val="AC4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F5317B"/>
    <w:multiLevelType w:val="hybridMultilevel"/>
    <w:tmpl w:val="E9EED24C"/>
    <w:lvl w:ilvl="0" w:tplc="6C8E1E16">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A7061852">
      <w:start w:val="1"/>
      <w:numFmt w:val="lowerLetter"/>
      <w:lvlText w:val="%2."/>
      <w:lvlJc w:val="left"/>
      <w:pPr>
        <w:ind w:left="1640" w:hanging="360"/>
        <w:jc w:val="left"/>
      </w:pPr>
      <w:rPr>
        <w:rFonts w:ascii="Calibri" w:eastAsia="Calibri" w:hAnsi="Calibri" w:cs="Calibri" w:hint="default"/>
        <w:spacing w:val="-1"/>
        <w:w w:val="100"/>
        <w:sz w:val="22"/>
        <w:szCs w:val="22"/>
        <w:lang w:val="en-US" w:eastAsia="en-US" w:bidi="ar-SA"/>
      </w:rPr>
    </w:lvl>
    <w:lvl w:ilvl="2" w:tplc="6990456A">
      <w:numFmt w:val="bullet"/>
      <w:lvlText w:val="•"/>
      <w:lvlJc w:val="left"/>
      <w:pPr>
        <w:ind w:left="1660" w:hanging="360"/>
      </w:pPr>
      <w:rPr>
        <w:rFonts w:hint="default"/>
        <w:lang w:val="en-US" w:eastAsia="en-US" w:bidi="ar-SA"/>
      </w:rPr>
    </w:lvl>
    <w:lvl w:ilvl="3" w:tplc="40A093CA">
      <w:numFmt w:val="bullet"/>
      <w:lvlText w:val="•"/>
      <w:lvlJc w:val="left"/>
      <w:pPr>
        <w:ind w:left="2857" w:hanging="360"/>
      </w:pPr>
      <w:rPr>
        <w:rFonts w:hint="default"/>
        <w:lang w:val="en-US" w:eastAsia="en-US" w:bidi="ar-SA"/>
      </w:rPr>
    </w:lvl>
    <w:lvl w:ilvl="4" w:tplc="44BAF3A4">
      <w:numFmt w:val="bullet"/>
      <w:lvlText w:val="•"/>
      <w:lvlJc w:val="left"/>
      <w:pPr>
        <w:ind w:left="4055" w:hanging="360"/>
      </w:pPr>
      <w:rPr>
        <w:rFonts w:hint="default"/>
        <w:lang w:val="en-US" w:eastAsia="en-US" w:bidi="ar-SA"/>
      </w:rPr>
    </w:lvl>
    <w:lvl w:ilvl="5" w:tplc="72B04BB2">
      <w:numFmt w:val="bullet"/>
      <w:lvlText w:val="•"/>
      <w:lvlJc w:val="left"/>
      <w:pPr>
        <w:ind w:left="5252" w:hanging="360"/>
      </w:pPr>
      <w:rPr>
        <w:rFonts w:hint="default"/>
        <w:lang w:val="en-US" w:eastAsia="en-US" w:bidi="ar-SA"/>
      </w:rPr>
    </w:lvl>
    <w:lvl w:ilvl="6" w:tplc="7250C474">
      <w:numFmt w:val="bullet"/>
      <w:lvlText w:val="•"/>
      <w:lvlJc w:val="left"/>
      <w:pPr>
        <w:ind w:left="6450" w:hanging="360"/>
      </w:pPr>
      <w:rPr>
        <w:rFonts w:hint="default"/>
        <w:lang w:val="en-US" w:eastAsia="en-US" w:bidi="ar-SA"/>
      </w:rPr>
    </w:lvl>
    <w:lvl w:ilvl="7" w:tplc="4664E072">
      <w:numFmt w:val="bullet"/>
      <w:lvlText w:val="•"/>
      <w:lvlJc w:val="left"/>
      <w:pPr>
        <w:ind w:left="7647" w:hanging="360"/>
      </w:pPr>
      <w:rPr>
        <w:rFonts w:hint="default"/>
        <w:lang w:val="en-US" w:eastAsia="en-US" w:bidi="ar-SA"/>
      </w:rPr>
    </w:lvl>
    <w:lvl w:ilvl="8" w:tplc="3A482CC6">
      <w:numFmt w:val="bullet"/>
      <w:lvlText w:val="•"/>
      <w:lvlJc w:val="left"/>
      <w:pPr>
        <w:ind w:left="8845" w:hanging="360"/>
      </w:pPr>
      <w:rPr>
        <w:rFonts w:hint="default"/>
        <w:lang w:val="en-US" w:eastAsia="en-US" w:bidi="ar-SA"/>
      </w:rPr>
    </w:lvl>
  </w:abstractNum>
  <w:abstractNum w:abstractNumId="11" w15:restartNumberingAfterBreak="0">
    <w:nsid w:val="552650BD"/>
    <w:multiLevelType w:val="multilevel"/>
    <w:tmpl w:val="C55C09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2" w15:restartNumberingAfterBreak="0">
    <w:nsid w:val="5A647FC9"/>
    <w:multiLevelType w:val="hybridMultilevel"/>
    <w:tmpl w:val="29168E6C"/>
    <w:lvl w:ilvl="0" w:tplc="B1AEDD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5F5A54FD"/>
    <w:multiLevelType w:val="hybridMultilevel"/>
    <w:tmpl w:val="735E5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550EB4"/>
    <w:multiLevelType w:val="hybridMultilevel"/>
    <w:tmpl w:val="82B6F08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5" w15:restartNumberingAfterBreak="0">
    <w:nsid w:val="718265D5"/>
    <w:multiLevelType w:val="hybridMultilevel"/>
    <w:tmpl w:val="1EFC026E"/>
    <w:lvl w:ilvl="0" w:tplc="3F7827C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7C7D1FA6"/>
    <w:multiLevelType w:val="hybridMultilevel"/>
    <w:tmpl w:val="D83617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4"/>
  </w:num>
  <w:num w:numId="4">
    <w:abstractNumId w:val="3"/>
  </w:num>
  <w:num w:numId="5">
    <w:abstractNumId w:val="16"/>
  </w:num>
  <w:num w:numId="6">
    <w:abstractNumId w:val="8"/>
  </w:num>
  <w:num w:numId="7">
    <w:abstractNumId w:val="7"/>
  </w:num>
  <w:num w:numId="8">
    <w:abstractNumId w:val="2"/>
  </w:num>
  <w:num w:numId="9">
    <w:abstractNumId w:val="13"/>
  </w:num>
  <w:num w:numId="10">
    <w:abstractNumId w:val="1"/>
  </w:num>
  <w:num w:numId="11">
    <w:abstractNumId w:val="10"/>
  </w:num>
  <w:num w:numId="12">
    <w:abstractNumId w:val="15"/>
  </w:num>
  <w:num w:numId="13">
    <w:abstractNumId w:val="12"/>
  </w:num>
  <w:num w:numId="14">
    <w:abstractNumId w:val="6"/>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A7"/>
    <w:rsid w:val="00000C0C"/>
    <w:rsid w:val="00013139"/>
    <w:rsid w:val="000828F8"/>
    <w:rsid w:val="0008500A"/>
    <w:rsid w:val="000D6A74"/>
    <w:rsid w:val="0011044D"/>
    <w:rsid w:val="001134C9"/>
    <w:rsid w:val="00147076"/>
    <w:rsid w:val="00157E92"/>
    <w:rsid w:val="00163A32"/>
    <w:rsid w:val="002A17B2"/>
    <w:rsid w:val="002B6C43"/>
    <w:rsid w:val="002D1D0D"/>
    <w:rsid w:val="002F323F"/>
    <w:rsid w:val="003F54DB"/>
    <w:rsid w:val="003F72BA"/>
    <w:rsid w:val="00406EE7"/>
    <w:rsid w:val="00420577"/>
    <w:rsid w:val="00471A3A"/>
    <w:rsid w:val="005D148D"/>
    <w:rsid w:val="005E138B"/>
    <w:rsid w:val="00613263"/>
    <w:rsid w:val="00641941"/>
    <w:rsid w:val="00644B21"/>
    <w:rsid w:val="006529B0"/>
    <w:rsid w:val="006771B0"/>
    <w:rsid w:val="006C7DAE"/>
    <w:rsid w:val="00704D4B"/>
    <w:rsid w:val="00707747"/>
    <w:rsid w:val="00711765"/>
    <w:rsid w:val="00725DD4"/>
    <w:rsid w:val="00762089"/>
    <w:rsid w:val="00784AA2"/>
    <w:rsid w:val="007A3955"/>
    <w:rsid w:val="007E4796"/>
    <w:rsid w:val="00812425"/>
    <w:rsid w:val="0082658D"/>
    <w:rsid w:val="008A6F8C"/>
    <w:rsid w:val="008B3C55"/>
    <w:rsid w:val="008C48A0"/>
    <w:rsid w:val="008D41AE"/>
    <w:rsid w:val="008F2234"/>
    <w:rsid w:val="008F71EC"/>
    <w:rsid w:val="0091530B"/>
    <w:rsid w:val="00963012"/>
    <w:rsid w:val="009A1A5E"/>
    <w:rsid w:val="009A6DAF"/>
    <w:rsid w:val="00A365AA"/>
    <w:rsid w:val="00AA0CA1"/>
    <w:rsid w:val="00AB15DB"/>
    <w:rsid w:val="00AD7F28"/>
    <w:rsid w:val="00AE6A23"/>
    <w:rsid w:val="00AE7099"/>
    <w:rsid w:val="00AF5E63"/>
    <w:rsid w:val="00B133DF"/>
    <w:rsid w:val="00B15F9A"/>
    <w:rsid w:val="00B83A44"/>
    <w:rsid w:val="00BA4A55"/>
    <w:rsid w:val="00C156B3"/>
    <w:rsid w:val="00C164A8"/>
    <w:rsid w:val="00C63810"/>
    <w:rsid w:val="00C649AF"/>
    <w:rsid w:val="00C822C8"/>
    <w:rsid w:val="00CA57BB"/>
    <w:rsid w:val="00CF6408"/>
    <w:rsid w:val="00D61C41"/>
    <w:rsid w:val="00DF251C"/>
    <w:rsid w:val="00E636A7"/>
    <w:rsid w:val="00E8245C"/>
    <w:rsid w:val="00ED7F0F"/>
    <w:rsid w:val="00F67DC0"/>
    <w:rsid w:val="00FF0B9B"/>
    <w:rsid w:val="00FF2122"/>
    <w:rsid w:val="00F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CC6A7"/>
  <w15:chartTrackingRefBased/>
  <w15:docId w15:val="{C505E46D-BC23-45DE-893B-F038F0AC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A7"/>
  </w:style>
  <w:style w:type="paragraph" w:styleId="Footer">
    <w:name w:val="footer"/>
    <w:basedOn w:val="Normal"/>
    <w:link w:val="FooterChar"/>
    <w:uiPriority w:val="99"/>
    <w:unhideWhenUsed/>
    <w:rsid w:val="00E6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A7"/>
  </w:style>
  <w:style w:type="paragraph" w:styleId="ListParagraph">
    <w:name w:val="List Paragraph"/>
    <w:basedOn w:val="Normal"/>
    <w:uiPriority w:val="1"/>
    <w:qFormat/>
    <w:rsid w:val="00157E92"/>
    <w:pPr>
      <w:ind w:left="720"/>
      <w:contextualSpacing/>
    </w:pPr>
  </w:style>
  <w:style w:type="paragraph" w:styleId="BalloonText">
    <w:name w:val="Balloon Text"/>
    <w:basedOn w:val="Normal"/>
    <w:link w:val="BalloonTextChar"/>
    <w:uiPriority w:val="99"/>
    <w:semiHidden/>
    <w:unhideWhenUsed/>
    <w:rsid w:val="00AB1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DB"/>
    <w:rPr>
      <w:rFonts w:ascii="Segoe UI" w:hAnsi="Segoe UI" w:cs="Segoe UI"/>
      <w:sz w:val="18"/>
      <w:szCs w:val="18"/>
    </w:rPr>
  </w:style>
  <w:style w:type="paragraph" w:customStyle="1" w:styleId="Level1">
    <w:name w:val="Level 1"/>
    <w:uiPriority w:val="99"/>
    <w:rsid w:val="00471A3A"/>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table" w:styleId="TableGrid">
    <w:name w:val="Table Grid"/>
    <w:basedOn w:val="TableNormal"/>
    <w:uiPriority w:val="59"/>
    <w:rsid w:val="007E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7B2"/>
    <w:rPr>
      <w:color w:val="0563C1" w:themeColor="hyperlink"/>
      <w:u w:val="single"/>
    </w:rPr>
  </w:style>
  <w:style w:type="paragraph" w:styleId="BodyText">
    <w:name w:val="Body Text"/>
    <w:basedOn w:val="Normal"/>
    <w:link w:val="BodyTextChar"/>
    <w:uiPriority w:val="1"/>
    <w:qFormat/>
    <w:rsid w:val="008F223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F2234"/>
    <w:rPr>
      <w:rFonts w:ascii="Calibri" w:eastAsia="Calibri" w:hAnsi="Calibri" w:cs="Calibri"/>
    </w:rPr>
  </w:style>
  <w:style w:type="paragraph" w:styleId="NoSpacing">
    <w:name w:val="No Spacing"/>
    <w:uiPriority w:val="1"/>
    <w:qFormat/>
    <w:rsid w:val="0011044D"/>
    <w:pPr>
      <w:spacing w:after="0" w:line="240" w:lineRule="auto"/>
    </w:pPr>
  </w:style>
  <w:style w:type="character" w:styleId="UnresolvedMention">
    <w:name w:val="Unresolved Mention"/>
    <w:basedOn w:val="DefaultParagraphFont"/>
    <w:uiPriority w:val="99"/>
    <w:semiHidden/>
    <w:unhideWhenUsed/>
    <w:rsid w:val="008D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192187">
      <w:bodyDiv w:val="1"/>
      <w:marLeft w:val="0"/>
      <w:marRight w:val="0"/>
      <w:marTop w:val="0"/>
      <w:marBottom w:val="0"/>
      <w:divBdr>
        <w:top w:val="none" w:sz="0" w:space="0" w:color="auto"/>
        <w:left w:val="none" w:sz="0" w:space="0" w:color="auto"/>
        <w:bottom w:val="none" w:sz="0" w:space="0" w:color="auto"/>
        <w:right w:val="none" w:sz="0" w:space="0" w:color="auto"/>
      </w:divBdr>
    </w:div>
    <w:div w:id="16677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691F0.E384FB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3ADE-BE1B-4A06-B9EA-F2A45627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Golas</dc:creator>
  <cp:keywords/>
  <dc:description/>
  <cp:lastModifiedBy>Recie Small</cp:lastModifiedBy>
  <cp:revision>3</cp:revision>
  <cp:lastPrinted>2020-10-15T21:29:00Z</cp:lastPrinted>
  <dcterms:created xsi:type="dcterms:W3CDTF">2020-12-04T03:14:00Z</dcterms:created>
  <dcterms:modified xsi:type="dcterms:W3CDTF">2021-02-08T19:48:00Z</dcterms:modified>
</cp:coreProperties>
</file>